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Arial" w:cs="Arial" w:eastAsia="Arial" w:hAnsi="Arial"/>
          <w:b/>
          <w:bCs/>
          <w:color w:val="1F3864"/>
          <w:sz w:val="44"/>
          <w:szCs w:val="44"/>
        </w:rPr>
        <w:t xml:space="preserve">TIESPRO TRAINING INSTITUTE</w:t>
      </w:r>
    </w:p>
    <w:p>
      <w:pPr>
        <w:pBdr>
          <w:bottom w:val="single" w:color="C9A84C" w:sz="12" w:space="8"/>
        </w:pBdr>
        <w:spacing w:after="100" w:before="200"/>
        <w:jc w:val="center"/>
      </w:pPr>
      <w:r>
        <w:rPr>
          <w:rFonts w:ascii="Arial" w:cs="Arial" w:eastAsia="Arial" w:hAnsi="Arial"/>
          <w:b/>
          <w:bCs/>
          <w:color w:val="C9A84C"/>
          <w:sz w:val="22"/>
          <w:szCs w:val="22"/>
        </w:rPr>
        <w:t xml:space="preserve">A Praeto Group Holdings Entity  |  TETA Accreditation 06-157</w:t>
      </w:r>
    </w:p>
    <w:p>
      <w:pPr>
        <w:spacing w:before="500"/>
        <w:jc w:val="center"/>
      </w:pPr>
      <w:r>
        <w:rPr>
          <w:rFonts w:ascii="Arial" w:cs="Arial" w:eastAsia="Arial" w:hAnsi="Arial"/>
          <w:b/>
          <w:bCs/>
          <w:color w:val="262626"/>
          <w:sz w:val="34"/>
          <w:szCs w:val="34"/>
        </w:rPr>
        <w:t xml:space="preserve">BUSINESS &amp; MARKET PLAN</w:t>
      </w:r>
    </w:p>
    <w:p>
      <w:pPr>
        <w:spacing w:after="100" w:before="100"/>
        <w:jc w:val="center"/>
      </w:pPr>
      <w:r>
        <w:rPr>
          <w:rFonts w:ascii="Arial" w:cs="Arial" w:eastAsia="Arial" w:hAnsi="Arial"/>
          <w:i/>
          <w:iCs/>
          <w:color w:val="1F3864"/>
          <w:sz w:val="26"/>
          <w:szCs w:val="26"/>
        </w:rPr>
        <w:t xml:space="preserve">Training as a Tax-Reduction and Youth Employment Strategy</w:t>
      </w:r>
    </w:p>
    <w:p>
      <w:pPr>
        <w:spacing w:before="100"/>
        <w:jc w:val="center"/>
      </w:pPr>
      <w:r>
        <w:rPr>
          <w:rFonts w:ascii="Arial" w:cs="Arial" w:eastAsia="Arial" w:hAnsi="Arial"/>
          <w:color w:val="595959"/>
          <w:sz w:val="20"/>
          <w:szCs w:val="20"/>
        </w:rPr>
        <w:t xml:space="preserve">Repositioning corporate training from grant-dependent delivery to a tax-efficient, profitable, youth-absorption pipeline for South Africa's transport, logistics and supply chain sector</w:t>
      </w:r>
    </w:p>
    <w:p>
      <w:pPr>
        <w:spacing w:before="900"/>
        <w:jc w:val="center"/>
      </w:pPr>
      <w:r>
        <w:rPr>
          <w:rFonts w:ascii="Arial" w:cs="Arial" w:eastAsia="Arial" w:hAnsi="Arial"/>
          <w:b/>
          <w:bCs/>
          <w:sz w:val="20"/>
          <w:szCs w:val="20"/>
        </w:rPr>
        <w:t xml:space="preserve">Prepared for: Berkeley Pretorius, Founder &amp; CEO, Praeto Group Holdings</w:t>
      </w:r>
    </w:p>
    <w:p>
      <w:pPr>
        <w:spacing w:before="80"/>
        <w:jc w:val="center"/>
      </w:pPr>
      <w:r>
        <w:rPr>
          <w:rFonts w:ascii="Arial" w:cs="Arial" w:eastAsia="Arial" w:hAnsi="Arial"/>
          <w:sz w:val="20"/>
          <w:szCs w:val="20"/>
        </w:rPr>
        <w:t xml:space="preserve">Prepared by: Tiespro Training Institute Strategy Team</w:t>
      </w:r>
    </w:p>
    <w:p>
      <w:pPr>
        <w:spacing w:before="80"/>
        <w:jc w:val="center"/>
      </w:pPr>
      <w:r>
        <w:rPr>
          <w:rFonts w:ascii="Arial" w:cs="Arial" w:eastAsia="Arial" w:hAnsi="Arial"/>
          <w:color w:val="808080"/>
          <w:sz w:val="18"/>
          <w:szCs w:val="18"/>
        </w:rPr>
        <w:t xml:space="preserve">July 2026  |  Confidential — For Internal &amp; Prospective Client Use</w:t>
      </w:r>
    </w:p>
    <w:p>
      <w:r>
        <w:br w:type="page"/>
      </w:r>
    </w:p>
    <w:p>
      <w:pPr>
        <w:pStyle w:val="Heading1"/>
        <w:pBdr>
          <w:bottom w:val="single" w:color="C9A84C" w:sz="8" w:space="4"/>
        </w:pBdr>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9A84C" w:sz="8" w:space="4"/>
        </w:pBdr>
        <w:spacing w:after="200" w:before="400"/>
      </w:pPr>
      <w:r>
        <w:t xml:space="preserve">1. Executive Summary</w:t>
      </w:r>
    </w:p>
    <w:p>
      <w:pPr>
        <w:spacing w:after="160" w:line="276"/>
      </w:pPr>
      <w:r>
        <w:rPr>
          <w:rFonts w:ascii="Arial" w:cs="Arial" w:eastAsia="Arial" w:hAnsi="Arial"/>
          <w:color w:val="262626"/>
          <w:sz w:val="21"/>
          <w:szCs w:val="21"/>
        </w:rPr>
        <w:t xml:space="preserve">For close to two decades, Tiespro Training Institute's revenue model has depended on discretionary and mandatory grant funding routed through the various SETA structures. That funding pool has contracted steadily in recent years, and building a business plan around it is no longer a sound long-term strategy.</w:t>
      </w:r>
    </w:p>
    <w:p>
      <w:pPr>
        <w:spacing w:after="160" w:line="276"/>
      </w:pPr>
      <w:r>
        <w:rPr>
          <w:rFonts w:ascii="Arial" w:cs="Arial" w:eastAsia="Arial" w:hAnsi="Arial"/>
          <w:color w:val="262626"/>
          <w:sz w:val="21"/>
          <w:szCs w:val="21"/>
        </w:rPr>
        <w:t xml:space="preserve">This plan sets out a hybrid repositioning: Tiespro moves from being a grant-funded training deliverer to being a tax-efficiency and workforce-pipeline partner for high-turnover, profitable companies that already carry a compulsory training obligation. SETA funding becomes a nice-to-have layered on top of a business case that stands on its own without it.</w:t>
      </w:r>
    </w:p>
    <w:p>
      <w:pPr>
        <w:spacing w:after="160" w:line="276"/>
      </w:pPr>
      <w:r>
        <w:rPr>
          <w:rFonts w:ascii="Arial" w:cs="Arial" w:eastAsia="Arial" w:hAnsi="Arial"/>
          <w:color w:val="262626"/>
          <w:sz w:val="21"/>
          <w:szCs w:val="21"/>
        </w:rPr>
        <w:t xml:space="preserve">The value proposition rests on four pillars that HR and Training Executives can take directly to their CFO and Exco:</w:t>
      </w:r>
    </w:p>
    <w:p>
      <w:pPr>
        <w:pStyle w:val="ListParagraph"/>
        <w:numPr>
          <w:ilvl w:val="0"/>
          <w:numId w:val="1"/>
        </w:numPr>
        <w:spacing w:after="90" w:line="264"/>
      </w:pPr>
      <w:r>
        <w:rPr>
          <w:rFonts w:ascii="Arial" w:cs="Arial" w:eastAsia="Arial" w:hAnsi="Arial"/>
          <w:color w:val="262626"/>
          <w:sz w:val="21"/>
          <w:szCs w:val="21"/>
        </w:rPr>
        <w:t xml:space="preserve">Section 12H of the Income Tax Act — a direct annual and completion tax allowance for every learner on a registered, SETA-aligned learnership, available for agreements entered into before 1 April 2027.</w:t>
      </w:r>
    </w:p>
    <w:p>
      <w:pPr>
        <w:pStyle w:val="ListParagraph"/>
        <w:numPr>
          <w:ilvl w:val="0"/>
          <w:numId w:val="1"/>
        </w:numPr>
        <w:spacing w:after="90" w:line="264"/>
      </w:pPr>
      <w:r>
        <w:rPr>
          <w:rFonts w:ascii="Arial" w:cs="Arial" w:eastAsia="Arial" w:hAnsi="Arial"/>
          <w:color w:val="262626"/>
          <w:sz w:val="21"/>
          <w:szCs w:val="21"/>
        </w:rPr>
        <w:t xml:space="preserve">The Employment Tax Incentive (ETI) — a monthly PAYE reduction for absorbing learners aged 18–29 into permanent roles once they qualify, running to 28 February 2029.</w:t>
      </w:r>
    </w:p>
    <w:p>
      <w:pPr>
        <w:pStyle w:val="ListParagraph"/>
        <w:numPr>
          <w:ilvl w:val="0"/>
          <w:numId w:val="1"/>
        </w:numPr>
        <w:spacing w:after="90" w:line="264"/>
      </w:pPr>
      <w:r>
        <w:rPr>
          <w:rFonts w:ascii="Arial" w:cs="Arial" w:eastAsia="Arial" w:hAnsi="Arial"/>
          <w:color w:val="262626"/>
          <w:sz w:val="21"/>
          <w:szCs w:val="21"/>
        </w:rPr>
        <w:t xml:space="preserve">B-BBEE Skills Development and Employment Equity scorecard credit — converting a compliance obligation into measurable procurement and tender advantage.</w:t>
      </w:r>
    </w:p>
    <w:p>
      <w:pPr>
        <w:pStyle w:val="ListParagraph"/>
        <w:numPr>
          <w:ilvl w:val="0"/>
          <w:numId w:val="1"/>
        </w:numPr>
        <w:spacing w:after="90" w:line="264"/>
      </w:pPr>
      <w:r>
        <w:rPr>
          <w:rFonts w:ascii="Arial" w:cs="Arial" w:eastAsia="Arial" w:hAnsi="Arial"/>
          <w:color w:val="262626"/>
          <w:sz w:val="21"/>
          <w:szCs w:val="21"/>
        </w:rPr>
        <w:t xml:space="preserve">A ready-made, TETA-accredited talent pipeline for the roles that drive most attrition cost in transport and logistics operations — drivers, freight handlers, transport clerks and supply chain practitioners.</w:t>
      </w:r>
    </w:p>
    <w:p>
      <w:pPr>
        <w:spacing w:after="160" w:line="276"/>
      </w:pPr>
      <w:r>
        <w:rPr>
          <w:rFonts w:ascii="Arial" w:cs="Arial" w:eastAsia="Arial" w:hAnsi="Arial"/>
          <w:color w:val="262626"/>
          <w:sz w:val="21"/>
          <w:szCs w:val="21"/>
        </w:rPr>
        <w:t xml:space="preserve">Tiespro's existing TETA accreditation (06-157) already covers seven NQF-aligned qualifications spanning Clearing &amp; Forwarding, Supply Chain, Transport Clerk, Freight Handler, and Truck/Bus/Taxi Driver — precisely the occupational categories with the highest headcount turnover in Durban's port, freight and distribution economy. This is the natural, credible base from which to build the pivot.</w:t>
      </w:r>
    </w:p>
    <w:p>
      <w:pPr>
        <w:spacing w:after="160" w:line="276"/>
      </w:pPr>
      <w:r>
        <w:rPr>
          <w:rFonts w:ascii="Arial" w:cs="Arial" w:eastAsia="Arial" w:hAnsi="Arial"/>
          <w:color w:val="262626"/>
          <w:sz w:val="21"/>
          <w:szCs w:val="21"/>
        </w:rPr>
        <w:t xml:space="preserve">The remainder of this document sets out the market context, the regulatory mechanics behind the pitch, a segmented target client list (with a full working list in the accompanying spreadsheet), the go-to-market motion, a worked financial illustration, and an implementation roadmap.</w:t>
      </w:r>
    </w:p>
    <w:p>
      <w:pPr>
        <w:pStyle w:val="Heading1"/>
        <w:pBdr>
          <w:bottom w:val="single" w:color="C9A84C" w:sz="8" w:space="4"/>
        </w:pBdr>
        <w:spacing w:after="200" w:before="400"/>
      </w:pPr>
      <w:r>
        <w:t xml:space="preserve">2. Strategic Context: Why the Model Must Change</w:t>
      </w:r>
    </w:p>
    <w:p>
      <w:pPr>
        <w:pStyle w:val="Heading2"/>
        <w:spacing w:after="140" w:before="280"/>
      </w:pPr>
      <w:r>
        <w:t xml:space="preserve">2.1 The grant-dependent model has run its course</w:t>
      </w:r>
    </w:p>
    <w:p>
      <w:pPr>
        <w:spacing w:after="160" w:line="276"/>
      </w:pPr>
      <w:r>
        <w:rPr>
          <w:rFonts w:ascii="Arial" w:cs="Arial" w:eastAsia="Arial" w:hAnsi="Arial"/>
          <w:color w:val="262626"/>
          <w:sz w:val="21"/>
          <w:szCs w:val="21"/>
        </w:rPr>
        <w:t xml:space="preserve">Tiespro's historical model — building capacity and revenue around SETA discretionary grants — assumed a stable and growing pool of sector-specific grant funding. That assumption no longer holds. Discretionary grant windows have become smaller, more competitive, and slower to pay out, while mandatory grant reclaims (20% of a levy payer's Skills Development Levy contribution, conditional on submitting a Workplace Skills Plan and Annual Training Report) remain modest relative to the administrative effort required.</w:t>
      </w:r>
    </w:p>
    <w:p>
      <w:pPr>
        <w:spacing w:after="160" w:line="276"/>
      </w:pPr>
      <w:r>
        <w:rPr>
          <w:rFonts w:ascii="Arial" w:cs="Arial" w:eastAsia="Arial" w:hAnsi="Arial"/>
          <w:color w:val="262626"/>
          <w:sz w:val="21"/>
          <w:szCs w:val="21"/>
        </w:rPr>
        <w:t xml:space="preserve">A business built primarily around chasing this funding is structurally exposed: it competes for a shrinking pool, it is slow to convert into predictable revenue, and it does not showcase the strongest part of Tiespro's offer — accredited delivery capability in a sector employers already have to invest in by law.</w:t>
      </w:r>
    </w:p>
    <w:p>
      <w:pPr>
        <w:pStyle w:val="Heading2"/>
        <w:spacing w:after="140" w:before="280"/>
      </w:pPr>
      <w:r>
        <w:t xml:space="preserve">2.2 The reframe: training is not a grant opportunity, it is a tax and cost strategy</w:t>
      </w:r>
    </w:p>
    <w:p>
      <w:pPr>
        <w:spacing w:after="160" w:line="276"/>
      </w:pPr>
      <w:r>
        <w:rPr>
          <w:rFonts w:ascii="Arial" w:cs="Arial" w:eastAsia="Arial" w:hAnsi="Arial"/>
          <w:color w:val="262626"/>
          <w:sz w:val="21"/>
          <w:szCs w:val="21"/>
        </w:rPr>
        <w:t xml:space="preserve">Every company with an annual payroll above the SDL threshold already pays the 1% Skills Development Levy — whether or not it ever claims a grant back. That spend is compulsory. The strategic reframe is simple: instead of positioning Tiespro's offer around recovering a slice of that levy through a grant process outside the client's control, Tiespro positions its offer around what the client's own tax return and payroll already allow them to claim, with certainty, the moment they run an accredited learnership.</w:t>
      </w:r>
    </w:p>
    <w:p>
      <w:pPr>
        <w:spacing w:after="160" w:line="276"/>
      </w:pPr>
      <w:r>
        <w:rPr>
          <w:rFonts w:ascii="Arial" w:cs="Arial" w:eastAsia="Arial" w:hAnsi="Arial"/>
          <w:color w:val="262626"/>
          <w:sz w:val="21"/>
          <w:szCs w:val="21"/>
        </w:rPr>
        <w:t xml:space="preserve">This shifts the sales conversation from Skills Development departments (who often carry limited budget authority) to HR and Training Executives who can build a business case with Finance — because the numbers reduce taxable income and PAYE liability directly, independent of any SETA grant outcome.</w:t>
      </w:r>
    </w:p>
    <w:p>
      <w:pPr>
        <w:pStyle w:val="Heading2"/>
        <w:spacing w:after="140" w:before="280"/>
      </w:pPr>
      <w:r>
        <w:t xml:space="preserve">2.3 Target profile: profitable, high-turnover, tender-exposed employers</w:t>
      </w:r>
    </w:p>
    <w:p>
      <w:pPr>
        <w:spacing w:after="160" w:line="276"/>
      </w:pPr>
      <w:r>
        <w:rPr>
          <w:rFonts w:ascii="Arial" w:cs="Arial" w:eastAsia="Arial" w:hAnsi="Arial"/>
          <w:color w:val="262626"/>
          <w:sz w:val="21"/>
          <w:szCs w:val="21"/>
        </w:rPr>
        <w:t xml:space="preserve">The ideal client is not the company struggling to find training budget. It is the company that already has: a compulsory training spend it under-utilises strategically; high turnover in entry-level operational roles (drivers, warehouse and freight staff, clerks); and a commercial reason to protect or grow its B-BBEE scorecard (tenders, listed-company ESG reporting, or large corporate customers with supplier development requirements). For this profile, training stops being a cost centre and becomes a funded pipeline that also reduces tax.</w:t>
      </w:r>
    </w:p>
    <w:p>
      <w:pPr>
        <w:pStyle w:val="Heading1"/>
        <w:pBdr>
          <w:bottom w:val="single" w:color="C9A84C" w:sz="8" w:space="4"/>
        </w:pBdr>
        <w:spacing w:after="200" w:before="400"/>
      </w:pPr>
      <w:r>
        <w:t xml:space="preserve">3. Institutional Capability Snapshot</w:t>
      </w:r>
    </w:p>
    <w:p>
      <w:pPr>
        <w:spacing w:after="160" w:line="276"/>
      </w:pPr>
      <w:r>
        <w:rPr>
          <w:rFonts w:ascii="Arial" w:cs="Arial" w:eastAsia="Arial" w:hAnsi="Arial"/>
          <w:color w:val="262626"/>
          <w:sz w:val="21"/>
          <w:szCs w:val="21"/>
        </w:rPr>
        <w:t xml:space="preserve">Tiespro Training Institute (CIPC 2005/026060/07) holds TETA accreditation 06-157 and has operated since 2005. Its current scope of accredited qualifications is concentrated in transport, logistics, freight and supply chain — the exact occupational base of the target market defined above.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1500"/>
        <w:gridCol w:w="1500"/>
      </w:tblGrid>
      <w:tr>
        <w:tc>
          <w:tcPr>
            <w:tcW w:type="dxa" w:w="16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NQF Level</w:t>
            </w:r>
          </w:p>
        </w:tc>
        <w:tc>
          <w:tcPr>
            <w:tcW w:type="dxa" w:w="56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Qualification</w:t>
            </w:r>
          </w:p>
        </w:tc>
        <w:tc>
          <w:tcPr>
            <w:tcW w:type="dxa" w:w="15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Sector</w:t>
            </w:r>
          </w:p>
        </w:tc>
        <w:tc>
          <w:tcPr>
            <w:tcW w:type="dxa" w:w="15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Turnover Profile</w:t>
            </w:r>
          </w:p>
        </w:tc>
      </w:tr>
      <w:tr>
        <w:tc>
          <w:tcPr>
            <w:tcW w:type="dxa" w:w="1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5</w:t>
            </w:r>
          </w:p>
        </w:tc>
        <w:tc>
          <w:tcPr>
            <w:tcW w:type="dxa" w:w="5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Clearing and Forwarding Agent</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Freight</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Medium</w:t>
            </w:r>
          </w:p>
        </w:tc>
      </w:tr>
      <w:tr>
        <w:tc>
          <w:tcPr>
            <w:tcW w:type="dxa" w:w="1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5</w:t>
            </w:r>
          </w:p>
        </w:tc>
        <w:tc>
          <w:tcPr>
            <w:tcW w:type="dxa" w:w="5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Supply Chain Practitioner</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Logistics</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Medium</w:t>
            </w:r>
          </w:p>
        </w:tc>
      </w:tr>
      <w:tr>
        <w:tc>
          <w:tcPr>
            <w:tcW w:type="dxa" w:w="1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4</w:t>
            </w:r>
          </w:p>
        </w:tc>
        <w:tc>
          <w:tcPr>
            <w:tcW w:type="dxa" w:w="5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Transport Clerk</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Logistics</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Medium-High</w:t>
            </w:r>
          </w:p>
        </w:tc>
      </w:tr>
      <w:tr>
        <w:tc>
          <w:tcPr>
            <w:tcW w:type="dxa" w:w="1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3</w:t>
            </w:r>
          </w:p>
        </w:tc>
        <w:tc>
          <w:tcPr>
            <w:tcW w:type="dxa" w:w="5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Freight Handler</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Freight</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High</w:t>
            </w:r>
          </w:p>
        </w:tc>
      </w:tr>
      <w:tr>
        <w:tc>
          <w:tcPr>
            <w:tcW w:type="dxa" w:w="1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3</w:t>
            </w:r>
          </w:p>
        </w:tc>
        <w:tc>
          <w:tcPr>
            <w:tcW w:type="dxa" w:w="5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Truck Driver</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Road Freight</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Very High</w:t>
            </w:r>
          </w:p>
        </w:tc>
      </w:tr>
      <w:tr>
        <w:tc>
          <w:tcPr>
            <w:tcW w:type="dxa" w:w="1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3</w:t>
            </w:r>
          </w:p>
        </w:tc>
        <w:tc>
          <w:tcPr>
            <w:tcW w:type="dxa" w:w="5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Bus Driver</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Passenger Transport</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High</w:t>
            </w:r>
          </w:p>
        </w:tc>
      </w:tr>
      <w:tr>
        <w:tc>
          <w:tcPr>
            <w:tcW w:type="dxa" w:w="1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3</w:t>
            </w:r>
          </w:p>
        </w:tc>
        <w:tc>
          <w:tcPr>
            <w:tcW w:type="dxa" w:w="5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Taxi Driver</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Passenger Transport</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High</w:t>
            </w:r>
          </w:p>
        </w:tc>
      </w:tr>
    </w:tbl>
    <w:p>
      <w:pPr>
        <w:spacing w:after="240" w:before="60"/>
      </w:pPr>
      <w:r>
        <w:rPr>
          <w:rFonts w:ascii="Arial" w:cs="Arial" w:eastAsia="Arial" w:hAnsi="Arial"/>
          <w:i/>
          <w:iCs/>
          <w:color w:val="595959"/>
          <w:sz w:val="18"/>
          <w:szCs w:val="18"/>
        </w:rPr>
        <w:t xml:space="preserve">Source: Tiespro 51 institution profile, Yiba Verified (yibaverified.co.za/institutions/tiespro-51), accessed July 2026.</w:t>
      </w:r>
    </w:p>
    <w:p>
      <w:pPr>
        <w:spacing w:after="160" w:line="276"/>
      </w:pPr>
      <w:r>
        <w:rPr>
          <w:rFonts w:ascii="Arial" w:cs="Arial" w:eastAsia="Arial" w:hAnsi="Arial"/>
          <w:color w:val="262626"/>
          <w:sz w:val="21"/>
          <w:szCs w:val="21"/>
        </w:rPr>
        <w:t xml:space="preserve">This scope gives Tiespro direct credibility with exactly the sectors that need it most: freight forwarding and clearing houses, road freight and distribution fleets, passenger transport operators, and the supply chain functions of large retailers and manufacturers.</w:t>
      </w:r>
    </w:p>
    <w:p>
      <w:pPr>
        <w:pStyle w:val="Heading1"/>
        <w:pBdr>
          <w:bottom w:val="single" w:color="C9A84C" w:sz="8" w:space="4"/>
        </w:pBdr>
        <w:spacing w:after="200" w:before="400"/>
      </w:pPr>
      <w:r>
        <w:t xml:space="preserve">4. The New Value Proposition</w:t>
      </w:r>
    </w:p>
    <w:p>
      <w:pPr>
        <w:pStyle w:val="Heading2"/>
        <w:spacing w:after="140" w:before="280"/>
      </w:pPr>
      <w:r>
        <w:t xml:space="preserve">4.1 One-line positioning</w:t>
      </w:r>
    </w:p>
    <w:p>
      <w:pPr>
        <w:spacing w:after="160" w:line="276"/>
      </w:pPr>
      <w:r>
        <w:rPr>
          <w:rFonts w:ascii="Arial" w:cs="Arial" w:eastAsia="Arial" w:hAnsi="Arial"/>
          <w:b/>
          <w:bCs/>
          <w:i/>
          <w:iCs/>
          <w:color w:val="1F3864"/>
          <w:sz w:val="23"/>
          <w:szCs w:val="23"/>
        </w:rPr>
        <w:t xml:space="preserve">“Turn a compulsory training spend into a funded, tax-efficient pipeline of qualified, tenure-ready staff — and let SETA funding be the bonus, not the plan.”</w:t>
      </w:r>
    </w:p>
    <w:p>
      <w:pPr>
        <w:pStyle w:val="Heading2"/>
        <w:spacing w:after="140" w:before="280"/>
      </w:pPr>
      <w:r>
        <w:t xml:space="preserve">4.2 What HR and Training Executives actually buy</w:t>
      </w:r>
    </w:p>
    <w:p>
      <w:pPr>
        <w:pStyle w:val="ListParagraph"/>
        <w:numPr>
          <w:ilvl w:val="0"/>
          <w:numId w:val="1"/>
        </w:numPr>
        <w:spacing w:after="90" w:line="264"/>
      </w:pPr>
      <w:r>
        <w:rPr>
          <w:rFonts w:ascii="Arial" w:cs="Arial" w:eastAsia="Arial" w:hAnsi="Arial"/>
          <w:color w:val="262626"/>
          <w:sz w:val="21"/>
          <w:szCs w:val="21"/>
        </w:rPr>
        <w:t xml:space="preserve">A lower net cost of hiring and developing entry-level operational staff, because Section 12H and the ETI offset the cost the company was already going to carry.</w:t>
      </w:r>
    </w:p>
    <w:p>
      <w:pPr>
        <w:pStyle w:val="ListParagraph"/>
        <w:numPr>
          <w:ilvl w:val="0"/>
          <w:numId w:val="1"/>
        </w:numPr>
        <w:spacing w:after="90" w:line="264"/>
      </w:pPr>
      <w:r>
        <w:rPr>
          <w:rFonts w:ascii="Arial" w:cs="Arial" w:eastAsia="Arial" w:hAnsi="Arial"/>
          <w:color w:val="262626"/>
          <w:sz w:val="21"/>
          <w:szCs w:val="21"/>
        </w:rPr>
        <w:t xml:space="preserve">A structured answer to chronic driver, freight-handler and clerk turnover — a pipeline instead of a permanent recruitment-agency dependency.</w:t>
      </w:r>
    </w:p>
    <w:p>
      <w:pPr>
        <w:pStyle w:val="ListParagraph"/>
        <w:numPr>
          <w:ilvl w:val="0"/>
          <w:numId w:val="1"/>
        </w:numPr>
        <w:spacing w:after="90" w:line="264"/>
      </w:pPr>
      <w:r>
        <w:rPr>
          <w:rFonts w:ascii="Arial" w:cs="Arial" w:eastAsia="Arial" w:hAnsi="Arial"/>
          <w:color w:val="262626"/>
          <w:sz w:val="21"/>
          <w:szCs w:val="21"/>
        </w:rPr>
        <w:t xml:space="preserve">A stronger, defensible B-BBEE Skills Development and Employment Equity scorecard position, which protects tender eligibility and preferred-supplier status.</w:t>
      </w:r>
    </w:p>
    <w:p>
      <w:pPr>
        <w:pStyle w:val="ListParagraph"/>
        <w:numPr>
          <w:ilvl w:val="0"/>
          <w:numId w:val="1"/>
        </w:numPr>
        <w:spacing w:after="90" w:line="264"/>
      </w:pPr>
      <w:r>
        <w:rPr>
          <w:rFonts w:ascii="Arial" w:cs="Arial" w:eastAsia="Arial" w:hAnsi="Arial"/>
          <w:color w:val="262626"/>
          <w:sz w:val="21"/>
          <w:szCs w:val="21"/>
        </w:rPr>
        <w:t xml:space="preserve">A TETA-accredited partner who can run the entire learnership lifecycle — recruitment, training, workplace-based learning, SETA registration, and absorption planning — so the HR function does not have to build this capability internally.</w:t>
      </w:r>
    </w:p>
    <w:p>
      <w:pPr>
        <w:pStyle w:val="ListParagraph"/>
        <w:numPr>
          <w:ilvl w:val="0"/>
          <w:numId w:val="1"/>
        </w:numPr>
        <w:spacing w:after="90" w:line="264"/>
      </w:pPr>
      <w:r>
        <w:rPr>
          <w:rFonts w:ascii="Arial" w:cs="Arial" w:eastAsia="Arial" w:hAnsi="Arial"/>
          <w:color w:val="262626"/>
          <w:sz w:val="21"/>
          <w:szCs w:val="21"/>
        </w:rPr>
        <w:t xml:space="preserve">A credible answer to youth unemployment and community expectations, without that answer costing the business more than it already spends.</w:t>
      </w:r>
    </w:p>
    <w:p>
      <w:pPr>
        <w:pStyle w:val="Heading2"/>
        <w:spacing w:after="140" w:before="280"/>
      </w:pPr>
      <w:r>
        <w:t xml:space="preserve">4.3 Positioning statement for outreach and proposals</w:t>
      </w:r>
    </w:p>
    <w:p>
      <w:pPr>
        <w:spacing w:after="160" w:line="276"/>
      </w:pPr>
      <w:r>
        <w:rPr>
          <w:rFonts w:ascii="Arial" w:cs="Arial" w:eastAsia="Arial" w:hAnsi="Arial"/>
          <w:color w:val="262626"/>
          <w:sz w:val="21"/>
          <w:szCs w:val="21"/>
        </w:rPr>
        <w:t xml:space="preserve">“Your organisation already pays the Skills Development Levy and already needs to place, train and retain staff in high-turnover operational roles. Tiespro's proposal does not ask you to spend more — it asks you to redirect what you already spend into a SETA-registered, TETA-accredited learnership programme that reduces your tax liability under Section 12H, reduces your PAYE liability under the Employment Tax Incentive when you absorb qualifying youth, and strengthens your B-BBEE scorecard. SETA discretionary grant funding, where available, is additional upside — not the basis of the business case.”</w:t>
      </w:r>
    </w:p>
    <w:p>
      <w:pPr>
        <w:pStyle w:val="Heading1"/>
        <w:pBdr>
          <w:bottom w:val="single" w:color="C9A84C" w:sz="8" w:space="4"/>
        </w:pBdr>
        <w:spacing w:after="200" w:before="400"/>
      </w:pPr>
      <w:r>
        <w:t xml:space="preserve">5. Regulatory and Tax Mechanics Behind the Offer</w:t>
      </w:r>
    </w:p>
    <w:p>
      <w:pPr>
        <w:spacing w:after="160" w:line="276"/>
      </w:pPr>
      <w:r>
        <w:rPr>
          <w:rFonts w:ascii="Arial" w:cs="Arial" w:eastAsia="Arial" w:hAnsi="Arial"/>
          <w:color w:val="262626"/>
          <w:sz w:val="21"/>
          <w:szCs w:val="21"/>
        </w:rPr>
        <w:t xml:space="preserve">These mechanics are the technical backbone of every conversation with an HR or Training Executive, and every number quoted to a prospective client must be re-verified against that client's own payroll and tax position by a registered tax practitioner before it is used in a signed proposal. Praeto's reviewing accountant, Augustine Mulenga of AN Accounting Services, should validate client-specific figures before they are committed to in writing.</w:t>
      </w:r>
    </w:p>
    <w:p>
      <w:pPr>
        <w:pStyle w:val="Heading2"/>
        <w:spacing w:after="140" w:before="280"/>
      </w:pPr>
      <w:r>
        <w:t xml:space="preserve">5.1 Skills Development Levy and the mandatory grant — the nice-to-have</w:t>
      </w:r>
    </w:p>
    <w:p>
      <w:pPr>
        <w:spacing w:after="160" w:line="276"/>
      </w:pPr>
      <w:r>
        <w:rPr>
          <w:rFonts w:ascii="Arial" w:cs="Arial" w:eastAsia="Arial" w:hAnsi="Arial"/>
          <w:color w:val="262626"/>
          <w:sz w:val="21"/>
          <w:szCs w:val="21"/>
        </w:rPr>
        <w:t xml:space="preserve">Employers with an annual payroll above the SDL threshold pay 1% of payroll into the Skills Development Levy. A registered employer that submits a compliant Workplace Skills Plan (WSP) and Annual Training Report (ATR) to its SETA can reclaim a mandatory grant of up to 20% of its levy contribution. This reclaim is useful, but it is small relative to total payroll, dependent on submission compliance, and does not by itself change the employer's tax position. In the new model this is framed as a welcome top-up, never the reason to run the programme.</w:t>
      </w:r>
    </w:p>
    <w:p>
      <w:pPr>
        <w:pStyle w:val="Heading2"/>
        <w:spacing w:after="140" w:before="280"/>
      </w:pPr>
      <w:r>
        <w:t xml:space="preserve">5.2 Section 12H — the Learnership Tax Allowance</w:t>
      </w:r>
    </w:p>
    <w:p>
      <w:pPr>
        <w:spacing w:after="160" w:line="276"/>
      </w:pPr>
      <w:r>
        <w:rPr>
          <w:rFonts w:ascii="Arial" w:cs="Arial" w:eastAsia="Arial" w:hAnsi="Arial"/>
          <w:color w:val="262626"/>
          <w:sz w:val="21"/>
          <w:szCs w:val="21"/>
        </w:rPr>
        <w:t xml:space="preserve">Section 12H of the Income Tax Act gives an employer two deductions for every learner on a registered learnership agreement, for agreements entered into before 1 April 2027:</w:t>
      </w:r>
    </w:p>
    <w:p>
      <w:pPr>
        <w:pStyle w:val="ListParagraph"/>
        <w:numPr>
          <w:ilvl w:val="0"/>
          <w:numId w:val="1"/>
        </w:numPr>
        <w:spacing w:after="90" w:line="264"/>
      </w:pPr>
      <w:r>
        <w:rPr>
          <w:rFonts w:ascii="Arial" w:cs="Arial" w:eastAsia="Arial" w:hAnsi="Arial"/>
          <w:color w:val="262626"/>
          <w:sz w:val="21"/>
          <w:szCs w:val="21"/>
        </w:rPr>
        <w:t xml:space="preserve">An annual allowance, claimed for each year of assessment the learner is active on the agreement, pro-rated for part-years.</w:t>
      </w:r>
    </w:p>
    <w:p>
      <w:pPr>
        <w:pStyle w:val="ListParagraph"/>
        <w:numPr>
          <w:ilvl w:val="0"/>
          <w:numId w:val="1"/>
        </w:numPr>
        <w:spacing w:after="90" w:line="264"/>
      </w:pPr>
      <w:r>
        <w:rPr>
          <w:rFonts w:ascii="Arial" w:cs="Arial" w:eastAsia="Arial" w:hAnsi="Arial"/>
          <w:color w:val="262626"/>
          <w:sz w:val="21"/>
          <w:szCs w:val="21"/>
        </w:rPr>
        <w:t xml:space="preserve">A completion allowance, claimed once, in the year the learner successfully completes the learnership — in addition to that year's annual allowance.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tblGrid>
      <w:tr>
        <w:tc>
          <w:tcPr>
            <w:tcW w:type="dxa" w:w="32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NQF Level of Qualification</w:t>
            </w:r>
          </w:p>
        </w:tc>
        <w:tc>
          <w:tcPr>
            <w:tcW w:type="dxa" w:w="28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Allowance (no disability)</w:t>
            </w:r>
          </w:p>
        </w:tc>
        <w:tc>
          <w:tcPr>
            <w:tcW w:type="dxa" w:w="28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Allowance (learner with a disability)</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NQF 1 – 6
(covers Truck/Bus/Taxi Driver, Freight Handler, Transport Clerk)</w:t>
            </w:r>
          </w:p>
        </w:tc>
        <w:tc>
          <w:tcPr>
            <w:tcW w:type="dxa" w:w="2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R40,000 per year + R40,000 completion</w:t>
            </w:r>
          </w:p>
        </w:tc>
        <w:tc>
          <w:tcPr>
            <w:tcW w:type="dxa" w:w="2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R60,000 per year + R60,000 completion</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NQF 7 – 10
(covers Clearing &amp; Forwarding Agent, Supply Chain Practitioner)</w:t>
            </w:r>
          </w:p>
        </w:tc>
        <w:tc>
          <w:tcPr>
            <w:tcW w:type="dxa" w:w="2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R20,000 per year + R20,000 completion</w:t>
            </w:r>
          </w:p>
        </w:tc>
        <w:tc>
          <w:tcPr>
            <w:tcW w:type="dxa" w:w="2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R50,000 per year + R50,000 completion</w:t>
            </w:r>
          </w:p>
        </w:tc>
      </w:tr>
    </w:tbl>
    <w:p>
      <w:pPr>
        <w:spacing w:after="240" w:before="60"/>
      </w:pPr>
      <w:r>
        <w:rPr>
          <w:rFonts w:ascii="Arial" w:cs="Arial" w:eastAsia="Arial" w:hAnsi="Arial"/>
          <w:i/>
          <w:iCs/>
          <w:color w:val="595959"/>
          <w:sz w:val="18"/>
          <w:szCs w:val="18"/>
        </w:rPr>
        <w:t xml:space="preserve">Note: Tiespro's NQF 3–5 qualifications fall in the NQF 1–6 band; the NQF 7–10 rate applies only to higher-level qualifications outside Tiespro's current scope, shown here for completeness. Figures per SARS Interpretation Note 20 (Issue 9), effective April 2025, applicable to agreements entered before 1 April 2027.</w:t>
      </w:r>
    </w:p>
    <w:p>
      <w:pPr>
        <w:spacing w:after="160" w:line="276"/>
      </w:pPr>
      <w:r>
        <w:rPr>
          <w:rFonts w:ascii="Arial" w:cs="Arial" w:eastAsia="Arial" w:hAnsi="Arial"/>
          <w:color w:val="262626"/>
          <w:sz w:val="21"/>
          <w:szCs w:val="21"/>
        </w:rPr>
        <w:t xml:space="preserve">This is not linked to whether the employer is an SDL payer or claims a mandatory grant — it applies regardless, provided the learnership is registered with a SETA and forms part of the employer's trade.</w:t>
      </w:r>
    </w:p>
    <w:p>
      <w:pPr>
        <w:pStyle w:val="Heading2"/>
        <w:spacing w:after="140" w:before="280"/>
      </w:pPr>
      <w:r>
        <w:t xml:space="preserve">5.3 The Employment Tax Incentive (ETI) — the youth absorption lever</w:t>
      </w:r>
    </w:p>
    <w:p>
      <w:pPr>
        <w:spacing w:after="160" w:line="276"/>
      </w:pPr>
      <w:r>
        <w:rPr>
          <w:rFonts w:ascii="Arial" w:cs="Arial" w:eastAsia="Arial" w:hAnsi="Arial"/>
          <w:color w:val="262626"/>
          <w:sz w:val="21"/>
          <w:szCs w:val="21"/>
        </w:rPr>
        <w:t xml:space="preserve">The ETI reduces an employer's monthly PAYE liability for each qualifying employee aged 18 to 29, for up to 24 months per employee, and runs until 28 February 2029. Following the rate change effective 1 April 2025, employees earning below R7,500 per month qualify, with the maximum monthly incentive available within a defined remuneration band and reducing to roughly half that amount in the employee's second year on the incentive. This is the direct financial lever for absorbing learners who complete a Tiespro learnership into permanent, entry-level roles — precisely the driver, warehouse, clerk and handler positions with the highest turnover.</w:t>
      </w:r>
    </w:p>
    <w:p>
      <w:pPr>
        <w:pStyle w:val="ListParagraph"/>
        <w:numPr>
          <w:ilvl w:val="0"/>
          <w:numId w:val="1"/>
        </w:numPr>
        <w:spacing w:after="90" w:line="264"/>
      </w:pPr>
      <w:r>
        <w:rPr>
          <w:rFonts w:ascii="Arial" w:cs="Arial" w:eastAsia="Arial" w:hAnsi="Arial"/>
          <w:color w:val="262626"/>
          <w:sz w:val="21"/>
          <w:szCs w:val="21"/>
        </w:rPr>
        <w:t xml:space="preserve">Applies to any qualifying employee, not only those who came through a learnership — but pairing it with a completed learnership means the employer absorbs a tested, qualified candidate rather than an unknown hire.</w:t>
      </w:r>
    </w:p>
    <w:p>
      <w:pPr>
        <w:pStyle w:val="ListParagraph"/>
        <w:numPr>
          <w:ilvl w:val="0"/>
          <w:numId w:val="1"/>
        </w:numPr>
        <w:spacing w:after="90" w:line="264"/>
      </w:pPr>
      <w:r>
        <w:rPr>
          <w:rFonts w:ascii="Arial" w:cs="Arial" w:eastAsia="Arial" w:hAnsi="Arial"/>
          <w:color w:val="262626"/>
          <w:sz w:val="21"/>
          <w:szCs w:val="21"/>
        </w:rPr>
        <w:t xml:space="preserve">Claimed monthly through the employer's PAYE return — a cash-flow benefit, not a year-end-only benefit.</w:t>
      </w:r>
    </w:p>
    <w:p>
      <w:pPr>
        <w:pStyle w:val="ListParagraph"/>
        <w:numPr>
          <w:ilvl w:val="0"/>
          <w:numId w:val="1"/>
        </w:numPr>
        <w:spacing w:after="90" w:line="264"/>
      </w:pPr>
      <w:r>
        <w:rPr>
          <w:rFonts w:ascii="Arial" w:cs="Arial" w:eastAsia="Arial" w:hAnsi="Arial"/>
          <w:color w:val="262626"/>
          <w:sz w:val="21"/>
          <w:szCs w:val="21"/>
        </w:rPr>
        <w:t xml:space="preserve">Since March 2025, SARS applies a 100% penalty on incorrectly claimed ETI amounts, which is why claims must be run through the client's own payroll administrator or accountant with proper record-keeping — Tiespro's role is to supply the learner and completion records, not to file the claim.</w:t>
      </w:r>
    </w:p>
    <w:p>
      <w:pPr>
        <w:pStyle w:val="Heading2"/>
        <w:spacing w:after="140" w:before="280"/>
      </w:pPr>
      <w:r>
        <w:t xml:space="preserve">5.4 B-BBEE Skills Development, Employment Equity, and tender eligibility</w:t>
      </w:r>
    </w:p>
    <w:p>
      <w:pPr>
        <w:spacing w:after="160" w:line="276"/>
      </w:pPr>
      <w:r>
        <w:rPr>
          <w:rFonts w:ascii="Arial" w:cs="Arial" w:eastAsia="Arial" w:hAnsi="Arial"/>
          <w:color w:val="262626"/>
          <w:sz w:val="21"/>
          <w:szCs w:val="21"/>
        </w:rPr>
        <w:t xml:space="preserve">For most of the target client base — freight, logistics and distribution companies that tender for corporate and public-sector contracts — the Skills Development and Employment Equity elements of the B-BBEE scorecard carry real commercial weight, and the transport sector has its own gazetted B-BBEE code that clients' BEE verification agents will apply. Running accredited learnerships and absorbing black youth into permanent roles is one of the more straightforward ways to move the needle on both elements, and absorption specifically attracts additional recognition under most sector codes. Because scorecard weightings and bonus-point mechanics vary by applicable code and by each company's verification agent, Tiespro's role in a proposal is to present the learnership and absorption plan and its supporting documentation — the client's own BEE verification agent confirms the exact point impact.</w:t>
      </w:r>
    </w:p>
    <w:p>
      <w:pPr>
        <w:pStyle w:val="Heading2"/>
        <w:spacing w:after="140" w:before="280"/>
      </w:pPr>
      <w:r>
        <w:t xml:space="preserve">5.5 Stacking the incentives — the logic to lead with</w:t>
      </w:r>
    </w:p>
    <w:p>
      <w:pPr>
        <w:spacing w:after="160" w:line="276"/>
      </w:pPr>
      <w:r>
        <w:rPr>
          <w:rFonts w:ascii="Arial" w:cs="Arial" w:eastAsia="Arial" w:hAnsi="Arial"/>
          <w:color w:val="262626"/>
          <w:sz w:val="21"/>
          <w:szCs w:val="21"/>
        </w:rPr>
        <w:t xml:space="preserve">The pitch works because these three levers stack on the same learner without conflicting: Section 12H rewards running the learnership; the ETI rewards absorbing the learner into a permanent role afterwards; and B-BBEE recognition rewards both the training spend and the absorption outcome. None of the three requires a SETA discretionary grant to be approved. A SETA grant, if it comes through, is simply additional funding on top of a case that already stands up on tax and compliance grounds alone.</w:t>
      </w:r>
    </w:p>
    <w:p>
      <w:pPr>
        <w:pStyle w:val="Heading1"/>
        <w:pBdr>
          <w:bottom w:val="single" w:color="C9A84C" w:sz="8" w:space="4"/>
        </w:pBdr>
        <w:spacing w:after="200" w:before="400"/>
      </w:pPr>
      <w:r>
        <w:t xml:space="preserve">6. Ideal Client Profile and Market Segmentation</w:t>
      </w:r>
    </w:p>
    <w:p>
      <w:pPr>
        <w:spacing w:after="160" w:line="276"/>
      </w:pPr>
      <w:r>
        <w:rPr>
          <w:rFonts w:ascii="Arial" w:cs="Arial" w:eastAsia="Arial" w:hAnsi="Arial"/>
          <w:color w:val="262626"/>
          <w:sz w:val="21"/>
          <w:szCs w:val="21"/>
        </w:rPr>
        <w:t xml:space="preserve">The Ideal Client Profile (ICP) filters directly from Tiespro's TETA scope and the tax mechanics above:</w:t>
      </w:r>
    </w:p>
    <w:p>
      <w:pPr>
        <w:pStyle w:val="ListParagraph"/>
        <w:numPr>
          <w:ilvl w:val="0"/>
          <w:numId w:val="1"/>
        </w:numPr>
        <w:spacing w:after="90" w:line="264"/>
      </w:pPr>
      <w:r>
        <w:rPr>
          <w:rFonts w:ascii="Arial" w:cs="Arial" w:eastAsia="Arial" w:hAnsi="Arial"/>
          <w:color w:val="262626"/>
          <w:sz w:val="21"/>
          <w:szCs w:val="21"/>
        </w:rPr>
        <w:t xml:space="preserve">Registered for PAYE and SDL, with payroll large enough that a 1% levy and a 27% corporate tax rate represent meaningful annual amounts.</w:t>
      </w:r>
    </w:p>
    <w:p>
      <w:pPr>
        <w:pStyle w:val="ListParagraph"/>
        <w:numPr>
          <w:ilvl w:val="0"/>
          <w:numId w:val="1"/>
        </w:numPr>
        <w:spacing w:after="90" w:line="264"/>
      </w:pPr>
      <w:r>
        <w:rPr>
          <w:rFonts w:ascii="Arial" w:cs="Arial" w:eastAsia="Arial" w:hAnsi="Arial"/>
          <w:color w:val="262626"/>
          <w:sz w:val="21"/>
          <w:szCs w:val="21"/>
        </w:rPr>
        <w:t xml:space="preserve">High annual turnover in driver, freight-handling, warehouse, clerk or clearing-agent roles — turnover is the pain point that makes a pipeline model attractive, not just the tax saving.</w:t>
      </w:r>
    </w:p>
    <w:p>
      <w:pPr>
        <w:pStyle w:val="ListParagraph"/>
        <w:numPr>
          <w:ilvl w:val="0"/>
          <w:numId w:val="1"/>
        </w:numPr>
        <w:spacing w:after="90" w:line="264"/>
      </w:pPr>
      <w:r>
        <w:rPr>
          <w:rFonts w:ascii="Arial" w:cs="Arial" w:eastAsia="Arial" w:hAnsi="Arial"/>
          <w:color w:val="262626"/>
          <w:sz w:val="21"/>
          <w:szCs w:val="21"/>
        </w:rPr>
        <w:t xml:space="preserve">Profitable and tax-paying — Section 12H only has value against taxable income; a lossmaking company cannot use the allowance in the year it is incurred.</w:t>
      </w:r>
    </w:p>
    <w:p>
      <w:pPr>
        <w:pStyle w:val="ListParagraph"/>
        <w:numPr>
          <w:ilvl w:val="0"/>
          <w:numId w:val="1"/>
        </w:numPr>
        <w:spacing w:after="90" w:line="264"/>
      </w:pPr>
      <w:r>
        <w:rPr>
          <w:rFonts w:ascii="Arial" w:cs="Arial" w:eastAsia="Arial" w:hAnsi="Arial"/>
          <w:color w:val="262626"/>
          <w:sz w:val="21"/>
          <w:szCs w:val="21"/>
        </w:rPr>
        <w:t xml:space="preserve">Exposed to B-BBEE scorecard pressure through tenders, listed-company reporting, or large corporate customers with supplier development conditions.</w:t>
      </w:r>
    </w:p>
    <w:p>
      <w:pPr>
        <w:pStyle w:val="ListParagraph"/>
        <w:numPr>
          <w:ilvl w:val="0"/>
          <w:numId w:val="1"/>
        </w:numPr>
        <w:spacing w:after="90" w:line="264"/>
      </w:pPr>
      <w:r>
        <w:rPr>
          <w:rFonts w:ascii="Arial" w:cs="Arial" w:eastAsia="Arial" w:hAnsi="Arial"/>
          <w:color w:val="262626"/>
          <w:sz w:val="21"/>
          <w:szCs w:val="21"/>
        </w:rPr>
        <w:t xml:space="preserve">Currently treats training as a compliance cost run by a small internal team, or outsources it inconsistently — an opening for a single accredited partner to own the full lifecycle.</w:t>
      </w:r>
    </w:p>
    <w:p>
      <w:pPr>
        <w:pStyle w:val="Heading2"/>
        <w:spacing w:after="140" w:before="280"/>
      </w:pPr>
      <w:r>
        <w:t xml:space="preserve">6.1 Segments (see Appendix A for the full account-level list)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000"/>
      </w:tblGrid>
      <w:tr>
        <w:tc>
          <w:tcPr>
            <w:tcW w:type="dxa" w:w="32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Segment</w:t>
            </w:r>
          </w:p>
        </w:tc>
        <w:tc>
          <w:tcPr>
            <w:tcW w:type="dxa" w:w="36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Why It Fits</w:t>
            </w:r>
          </w:p>
        </w:tc>
        <w:tc>
          <w:tcPr>
            <w:tcW w:type="dxa" w:w="20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Priority</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Freight forwarding &amp; clearing agents (Durban port)</w:t>
            </w:r>
          </w:p>
        </w:tc>
        <w:tc>
          <w:tcPr>
            <w:tcW w:type="dxa" w:w="3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Clearing agent role turnover; NQF5 qualification match; high-value cargo compliance pressure</w:t>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High</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Road freight &amp; distribution fleet operators</w:t>
            </w:r>
          </w:p>
        </w:tc>
        <w:tc>
          <w:tcPr>
            <w:tcW w:type="dxa" w:w="3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Highest driver turnover in the market; direct NQF3 Truck Driver / Freight Handler match</w:t>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High</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Passenger transport operators (bus)</w:t>
            </w:r>
          </w:p>
        </w:tc>
        <w:tc>
          <w:tcPr>
            <w:tcW w:type="dxa" w:w="3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Municipal and commuter safety compliance; direct NQF3 Bus Driver match</w:t>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Medium</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Retail &amp; FMCG distribution centres</w:t>
            </w:r>
          </w:p>
        </w:tc>
        <w:tc>
          <w:tcPr>
            <w:tcW w:type="dxa" w:w="3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Very large, high-turnover warehouse and supply chain workforce; strong BEE motivation</w:t>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High</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Manufacturing with in-house logistics fleets</w:t>
            </w:r>
          </w:p>
        </w:tc>
        <w:tc>
          <w:tcPr>
            <w:tcW w:type="dxa" w:w="3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In-house driver and supply chain roles; typically under-optimised on Section 12H</w:t>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Medium</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SOE and municipal fleet operations</w:t>
            </w:r>
          </w:p>
        </w:tc>
        <w:tc>
          <w:tcPr>
            <w:tcW w:type="dxa" w:w="3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Compulsory transformation targets and existing Praeto relationships (e.g., eThekwini Municipality)</w:t>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High</w:t>
            </w:r>
          </w:p>
        </w:tc>
      </w:tr>
    </w:tbl>
    <w:p>
      <w:pPr>
        <w:pStyle w:val="Heading1"/>
        <w:pBdr>
          <w:bottom w:val="single" w:color="C9A84C" w:sz="8" w:space="4"/>
        </w:pBdr>
        <w:spacing w:after="200" w:before="400"/>
      </w:pPr>
      <w:r>
        <w:t xml:space="preserve">7. Target Client List</w:t>
      </w:r>
    </w:p>
    <w:p>
      <w:pPr>
        <w:spacing w:after="160" w:line="276"/>
      </w:pPr>
      <w:r>
        <w:rPr>
          <w:rFonts w:ascii="Arial" w:cs="Arial" w:eastAsia="Arial" w:hAnsi="Arial"/>
          <w:color w:val="262626"/>
          <w:sz w:val="21"/>
          <w:szCs w:val="21"/>
        </w:rPr>
        <w:t xml:space="preserve">A working prospect list of 29 accounts across these segments — including sector, KZN/Durban footprint, fit rationale, likely entry-point title, and a suggested approach angle for each — is provided as a companion spreadsheet, Tiespro_Prospect_List.xlsx, so the sales team can track outreach status directly. A condensed view of the highest-priority accounts is below.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000"/>
      </w:tblGrid>
      <w:tr>
        <w:tc>
          <w:tcPr>
            <w:tcW w:type="dxa" w:w="32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Account</w:t>
            </w:r>
          </w:p>
        </w:tc>
        <w:tc>
          <w:tcPr>
            <w:tcW w:type="dxa" w:w="26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Segment</w:t>
            </w:r>
          </w:p>
        </w:tc>
        <w:tc>
          <w:tcPr>
            <w:tcW w:type="dxa" w:w="30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Entry Point</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Bidvest International Logistics (BidFreight)</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Freight Forwarding</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Group HR Executive / SDF</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Grindrod Freight Services</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Freight &amp; Shipping</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Group Talent &amp; Skills Manager</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Imperial Logistics (KZN)</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Road Freight</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Regional HR / L&amp;D Manager</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Unitrans (KZN)</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Road Freight &amp; Bulk</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Group Training Manager</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Value Logistics</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Road Freight</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HR Manager</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Transnet Freight Rail (Durban)</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Rail &amp; Freight (SOE)</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Skills Development / HR Executive</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Shoprite Checkers DC (Cato Ridge)</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Retail FMCG Distribution</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DC HR Manager / National L&amp;D</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Massmart Distribution Centre (KZN)</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Retail FMCG Distribution</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HR Manager – Distribution</w:t>
            </w:r>
          </w:p>
        </w:tc>
      </w:tr>
      <w:tr>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eThekwini Municipality – Fleet &amp; Logistics</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Municipal Fleet (warm relationship)</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Head: Fleet Management / Skills Unit</w:t>
            </w:r>
          </w:p>
        </w:tc>
      </w:tr>
    </w:tbl>
    <w:p>
      <w:pPr>
        <w:spacing w:after="240" w:before="60"/>
      </w:pPr>
      <w:r>
        <w:rPr>
          <w:rFonts w:ascii="Arial" w:cs="Arial" w:eastAsia="Arial" w:hAnsi="Arial"/>
          <w:i/>
          <w:iCs/>
          <w:color w:val="595959"/>
          <w:sz w:val="18"/>
          <w:szCs w:val="18"/>
        </w:rPr>
        <w:t xml:space="preserve">Full list of 29 accounts with detailed rationale in Tiespro_Prospect_List.xlsx. Company sizes and structures are estimates based on public information and require verification before outreach.</w:t>
      </w:r>
    </w:p>
    <w:p>
      <w:pPr>
        <w:pStyle w:val="Heading1"/>
        <w:pBdr>
          <w:bottom w:val="single" w:color="C9A84C" w:sz="8" w:space="4"/>
        </w:pBdr>
        <w:spacing w:after="200" w:before="400"/>
      </w:pPr>
      <w:r>
        <w:t xml:space="preserve">8. Go-to-Market and Sales Motion</w:t>
      </w:r>
    </w:p>
    <w:p>
      <w:pPr>
        <w:pStyle w:val="Heading2"/>
        <w:spacing w:after="140" w:before="280"/>
      </w:pPr>
      <w:r>
        <w:t xml:space="preserve">8.1 Who to approach, and in what order</w:t>
      </w:r>
    </w:p>
    <w:p>
      <w:pPr>
        <w:pStyle w:val="ListParagraph"/>
        <w:numPr>
          <w:ilvl w:val="0"/>
          <w:numId w:val="1"/>
        </w:numPr>
        <w:spacing w:after="90" w:line="264"/>
      </w:pPr>
      <w:r>
        <w:rPr>
          <w:rFonts w:ascii="Arial" w:cs="Arial" w:eastAsia="Arial" w:hAnsi="Arial"/>
          <w:color w:val="262626"/>
          <w:sz w:val="21"/>
          <w:szCs w:val="21"/>
        </w:rPr>
        <w:t xml:space="preserve">Primary target: HR Executive, HR Business Partner, or Training/Skills Development Manager — they own the training budget conversation and can bring Finance into the case.</w:t>
      </w:r>
    </w:p>
    <w:p>
      <w:pPr>
        <w:pStyle w:val="ListParagraph"/>
        <w:numPr>
          <w:ilvl w:val="0"/>
          <w:numId w:val="1"/>
        </w:numPr>
        <w:spacing w:after="90" w:line="264"/>
      </w:pPr>
      <w:r>
        <w:rPr>
          <w:rFonts w:ascii="Arial" w:cs="Arial" w:eastAsia="Arial" w:hAnsi="Arial"/>
          <w:color w:val="262626"/>
          <w:sz w:val="21"/>
          <w:szCs w:val="21"/>
        </w:rPr>
        <w:t xml:space="preserve">Secondary target: Skills Development Facilitator (SDF) — useful ally for the SETA registration mechanics, but rarely the final decision-maker on budget.</w:t>
      </w:r>
    </w:p>
    <w:p>
      <w:pPr>
        <w:pStyle w:val="ListParagraph"/>
        <w:numPr>
          <w:ilvl w:val="0"/>
          <w:numId w:val="1"/>
        </w:numPr>
        <w:spacing w:after="90" w:line="264"/>
      </w:pPr>
      <w:r>
        <w:rPr>
          <w:rFonts w:ascii="Arial" w:cs="Arial" w:eastAsia="Arial" w:hAnsi="Arial"/>
          <w:color w:val="262626"/>
          <w:sz w:val="21"/>
          <w:szCs w:val="21"/>
        </w:rPr>
        <w:t xml:space="preserve">Where possible, secure a warm introduction — the eThekwini Municipality relationship, WAAG networks, and existing Praeto Group contacts should be used to open Priority A doors before cold outreach.</w:t>
      </w:r>
    </w:p>
    <w:p>
      <w:pPr>
        <w:pStyle w:val="Heading2"/>
        <w:spacing w:after="140" w:before="280"/>
      </w:pPr>
      <w:r>
        <w:t xml:space="preserve">8.2 The outreach sequence</w:t>
      </w:r>
    </w:p>
    <w:p>
      <w:pPr>
        <w:pStyle w:val="ListParagraph"/>
        <w:numPr>
          <w:ilvl w:val="0"/>
          <w:numId w:val="1"/>
        </w:numPr>
        <w:spacing w:after="90" w:line="264"/>
      </w:pPr>
      <w:r>
        <w:rPr>
          <w:rFonts w:ascii="Arial" w:cs="Arial" w:eastAsia="Arial" w:hAnsi="Arial"/>
          <w:color w:val="262626"/>
          <w:sz w:val="21"/>
          <w:szCs w:val="21"/>
        </w:rPr>
        <w:t xml:space="preserve">Step 1 — One-page value proposition sent to the HR/Training Executive, framed as a tax and turnover conversation, not a training-brochure conversation.</w:t>
      </w:r>
    </w:p>
    <w:p>
      <w:pPr>
        <w:pStyle w:val="ListParagraph"/>
        <w:numPr>
          <w:ilvl w:val="0"/>
          <w:numId w:val="1"/>
        </w:numPr>
        <w:spacing w:after="90" w:line="264"/>
      </w:pPr>
      <w:r>
        <w:rPr>
          <w:rFonts w:ascii="Arial" w:cs="Arial" w:eastAsia="Arial" w:hAnsi="Arial"/>
          <w:color w:val="262626"/>
          <w:sz w:val="21"/>
          <w:szCs w:val="21"/>
        </w:rPr>
        <w:t xml:space="preserve">Step 2 — 30-minute discovery call to establish current headcount in TETA-scope roles, current turnover rate, current WSP/ATR practice, and whether the client has previously claimed Section 12H or ETI.</w:t>
      </w:r>
    </w:p>
    <w:p>
      <w:pPr>
        <w:pStyle w:val="ListParagraph"/>
        <w:numPr>
          <w:ilvl w:val="0"/>
          <w:numId w:val="1"/>
        </w:numPr>
        <w:spacing w:after="90" w:line="264"/>
      </w:pPr>
      <w:r>
        <w:rPr>
          <w:rFonts w:ascii="Arial" w:cs="Arial" w:eastAsia="Arial" w:hAnsi="Arial"/>
          <w:color w:val="262626"/>
          <w:sz w:val="21"/>
          <w:szCs w:val="21"/>
        </w:rPr>
        <w:t xml:space="preserve">Step 3 — Tailored one-page financial illustration (using the client's own approximate headcount and turnover numbers) modelled on the worked example in Section 10.</w:t>
      </w:r>
    </w:p>
    <w:p>
      <w:pPr>
        <w:pStyle w:val="ListParagraph"/>
        <w:numPr>
          <w:ilvl w:val="0"/>
          <w:numId w:val="1"/>
        </w:numPr>
        <w:spacing w:after="90" w:line="264"/>
      </w:pPr>
      <w:r>
        <w:rPr>
          <w:rFonts w:ascii="Arial" w:cs="Arial" w:eastAsia="Arial" w:hAnsi="Arial"/>
          <w:color w:val="262626"/>
          <w:sz w:val="21"/>
          <w:szCs w:val="21"/>
        </w:rPr>
        <w:t xml:space="preserve">Step 4 — Formal proposal and engagement model (Section 9), positioned to Finance and HR jointly.</w:t>
      </w:r>
    </w:p>
    <w:p>
      <w:pPr>
        <w:pStyle w:val="ListParagraph"/>
        <w:numPr>
          <w:ilvl w:val="0"/>
          <w:numId w:val="1"/>
        </w:numPr>
        <w:spacing w:after="90" w:line="264"/>
      </w:pPr>
      <w:r>
        <w:rPr>
          <w:rFonts w:ascii="Arial" w:cs="Arial" w:eastAsia="Arial" w:hAnsi="Arial"/>
          <w:color w:val="262626"/>
          <w:sz w:val="21"/>
          <w:szCs w:val="21"/>
        </w:rPr>
        <w:t xml:space="preserve">Step 5 — Pilot cohort (recommend 10–20 learners) with a defined absorption plan agreed upfront.</w:t>
      </w:r>
    </w:p>
    <w:p>
      <w:pPr>
        <w:pStyle w:val="Heading2"/>
        <w:spacing w:after="140" w:before="280"/>
      </w:pPr>
      <w:r>
        <w:t xml:space="preserve">8.3 Handling the two objections that will come up most often</w:t>
      </w:r>
    </w:p>
    <w:p>
      <w:pPr>
        <w:pStyle w:val="ListParagraph"/>
        <w:numPr>
          <w:ilvl w:val="0"/>
          <w:numId w:val="1"/>
        </w:numPr>
        <w:spacing w:after="90" w:line="264"/>
      </w:pPr>
      <w:r>
        <w:rPr>
          <w:rFonts w:ascii="Arial" w:cs="Arial" w:eastAsia="Arial" w:hAnsi="Arial"/>
          <w:color w:val="262626"/>
          <w:sz w:val="21"/>
          <w:szCs w:val="21"/>
        </w:rPr>
        <w:t xml:space="preserve">“We already have a training provider.” — Reframe: this is not a competing training-delivery pitch, it is a tax-and-retention strategy that happens to be delivered through accredited training. Ask whether their current provider is modelling Section 12H and ETI stacking for them.</w:t>
      </w:r>
    </w:p>
    <w:p>
      <w:pPr>
        <w:pStyle w:val="ListParagraph"/>
        <w:numPr>
          <w:ilvl w:val="0"/>
          <w:numId w:val="1"/>
        </w:numPr>
        <w:spacing w:after="90" w:line="264"/>
      </w:pPr>
      <w:r>
        <w:rPr>
          <w:rFonts w:ascii="Arial" w:cs="Arial" w:eastAsia="Arial" w:hAnsi="Arial"/>
          <w:color w:val="262626"/>
          <w:sz w:val="21"/>
          <w:szCs w:val="21"/>
        </w:rPr>
        <w:t xml:space="preserve">“SETA funding has let us down before.” — Agree, and confirm the business case in this proposal does not depend on it. Show the Section 12H and ETI numbers standing alone, with SETA funding shown only as a footnote upside.</w:t>
      </w:r>
    </w:p>
    <w:p>
      <w:pPr>
        <w:pStyle w:val="Heading1"/>
        <w:pBdr>
          <w:bottom w:val="single" w:color="C9A84C" w:sz="8" w:space="4"/>
        </w:pBdr>
        <w:spacing w:after="200" w:before="400"/>
      </w:pPr>
      <w:r>
        <w:t xml:space="preserve">9. Service and Revenue Model</w:t>
      </w:r>
    </w:p>
    <w:p>
      <w:pPr>
        <w:spacing w:after="160" w:line="276"/>
      </w:pPr>
      <w:r>
        <w:rPr>
          <w:rFonts w:ascii="Arial" w:cs="Arial" w:eastAsia="Arial" w:hAnsi="Arial"/>
          <w:color w:val="262626"/>
          <w:sz w:val="21"/>
          <w:szCs w:val="21"/>
        </w:rPr>
        <w:t xml:space="preserve">Tiespro's engagement is structured so the client experiences it as a managed, tax-efficient pipeline rather than a training course purchase.</w:t>
      </w:r>
    </w:p>
    <w:p>
      <w:pPr>
        <w:pStyle w:val="Heading2"/>
        <w:spacing w:after="140" w:before="280"/>
      </w:pPr>
      <w:r>
        <w:t xml:space="preserve">9.1 What Tiespro manages end-to-end</w:t>
      </w:r>
    </w:p>
    <w:p>
      <w:pPr>
        <w:pStyle w:val="ListParagraph"/>
        <w:numPr>
          <w:ilvl w:val="0"/>
          <w:numId w:val="1"/>
        </w:numPr>
        <w:spacing w:after="90" w:line="264"/>
      </w:pPr>
      <w:r>
        <w:rPr>
          <w:rFonts w:ascii="Arial" w:cs="Arial" w:eastAsia="Arial" w:hAnsi="Arial"/>
          <w:color w:val="262626"/>
          <w:sz w:val="21"/>
          <w:szCs w:val="21"/>
        </w:rPr>
        <w:t xml:space="preserve">Learner sourcing and screening (school leavers, graduates, unemployed youth, sourced with the client's community/CSI priorities in mind where relevant).</w:t>
      </w:r>
    </w:p>
    <w:p>
      <w:pPr>
        <w:pStyle w:val="ListParagraph"/>
        <w:numPr>
          <w:ilvl w:val="0"/>
          <w:numId w:val="1"/>
        </w:numPr>
        <w:spacing w:after="90" w:line="264"/>
      </w:pPr>
      <w:r>
        <w:rPr>
          <w:rFonts w:ascii="Arial" w:cs="Arial" w:eastAsia="Arial" w:hAnsi="Arial"/>
          <w:color w:val="262626"/>
          <w:sz w:val="21"/>
          <w:szCs w:val="21"/>
        </w:rPr>
        <w:t xml:space="preserve">SETA learnership agreement registration and administration.</w:t>
      </w:r>
    </w:p>
    <w:p>
      <w:pPr>
        <w:pStyle w:val="ListParagraph"/>
        <w:numPr>
          <w:ilvl w:val="0"/>
          <w:numId w:val="1"/>
        </w:numPr>
        <w:spacing w:after="90" w:line="264"/>
      </w:pPr>
      <w:r>
        <w:rPr>
          <w:rFonts w:ascii="Arial" w:cs="Arial" w:eastAsia="Arial" w:hAnsi="Arial"/>
          <w:color w:val="262626"/>
          <w:sz w:val="21"/>
          <w:szCs w:val="21"/>
        </w:rPr>
        <w:t xml:space="preserve">Accredited classroom and workplace-based training delivery against the relevant TETA qualification.</w:t>
      </w:r>
    </w:p>
    <w:p>
      <w:pPr>
        <w:pStyle w:val="ListParagraph"/>
        <w:numPr>
          <w:ilvl w:val="0"/>
          <w:numId w:val="1"/>
        </w:numPr>
        <w:spacing w:after="90" w:line="264"/>
      </w:pPr>
      <w:r>
        <w:rPr>
          <w:rFonts w:ascii="Arial" w:cs="Arial" w:eastAsia="Arial" w:hAnsi="Arial"/>
          <w:color w:val="262626"/>
          <w:sz w:val="21"/>
          <w:szCs w:val="21"/>
        </w:rPr>
        <w:t xml:space="preserve">Progress tracking, assessment, and moderation through to certification.</w:t>
      </w:r>
    </w:p>
    <w:p>
      <w:pPr>
        <w:pStyle w:val="ListParagraph"/>
        <w:numPr>
          <w:ilvl w:val="0"/>
          <w:numId w:val="1"/>
        </w:numPr>
        <w:spacing w:after="90" w:line="264"/>
      </w:pPr>
      <w:r>
        <w:rPr>
          <w:rFonts w:ascii="Arial" w:cs="Arial" w:eastAsia="Arial" w:hAnsi="Arial"/>
          <w:color w:val="262626"/>
          <w:sz w:val="21"/>
          <w:szCs w:val="21"/>
        </w:rPr>
        <w:t xml:space="preserve">A structured absorption recommendation for each learner at completion, timed to support the client's ETI planning.</w:t>
      </w:r>
    </w:p>
    <w:p>
      <w:pPr>
        <w:pStyle w:val="ListParagraph"/>
        <w:numPr>
          <w:ilvl w:val="0"/>
          <w:numId w:val="1"/>
        </w:numPr>
        <w:spacing w:after="90" w:line="264"/>
      </w:pPr>
      <w:r>
        <w:rPr>
          <w:rFonts w:ascii="Arial" w:cs="Arial" w:eastAsia="Arial" w:hAnsi="Arial"/>
          <w:color w:val="262626"/>
          <w:sz w:val="21"/>
          <w:szCs w:val="21"/>
        </w:rPr>
        <w:t xml:space="preserve">Documentation packs the client's tax practitioner needs to support Section 12H claims, and the client's BEE verification agent needs to support scorecard claims.</w:t>
      </w:r>
    </w:p>
    <w:p>
      <w:pPr>
        <w:pStyle w:val="Heading2"/>
        <w:spacing w:after="140" w:before="280"/>
      </w:pPr>
      <w:r>
        <w:t xml:space="preserve">9.2 Revenue model — building a profitable training cost centre for the client</w:t>
      </w:r>
    </w:p>
    <w:p>
      <w:pPr>
        <w:spacing w:after="160" w:line="276"/>
      </w:pPr>
      <w:r>
        <w:rPr>
          <w:rFonts w:ascii="Arial" w:cs="Arial" w:eastAsia="Arial" w:hAnsi="Arial"/>
          <w:color w:val="262626"/>
          <w:sz w:val="21"/>
          <w:szCs w:val="21"/>
        </w:rPr>
        <w:t xml:space="preserve">The commercial model has two components that should be quoted separately so the client sees the true economics:</w:t>
      </w:r>
    </w:p>
    <w:p>
      <w:pPr>
        <w:pStyle w:val="ListParagraph"/>
        <w:numPr>
          <w:ilvl w:val="0"/>
          <w:numId w:val="1"/>
        </w:numPr>
        <w:spacing w:after="90" w:line="264"/>
      </w:pPr>
      <w:r>
        <w:rPr>
          <w:rFonts w:ascii="Arial" w:cs="Arial" w:eastAsia="Arial" w:hAnsi="Arial"/>
          <w:color w:val="262626"/>
          <w:sz w:val="21"/>
          <w:szCs w:val="21"/>
        </w:rPr>
        <w:t xml:space="preserve">A per-learner training and administration fee, priced against Tiespro's delivery cost and positioned as materially lower than the Section 12H allowance the client will claim per learner — the client's net position after tax is designed to be positive even before any SETA grant.</w:t>
      </w:r>
    </w:p>
    <w:p>
      <w:pPr>
        <w:pStyle w:val="ListParagraph"/>
        <w:numPr>
          <w:ilvl w:val="0"/>
          <w:numId w:val="1"/>
        </w:numPr>
        <w:spacing w:after="90" w:line="264"/>
      </w:pPr>
      <w:r>
        <w:rPr>
          <w:rFonts w:ascii="Arial" w:cs="Arial" w:eastAsia="Arial" w:hAnsi="Arial"/>
          <w:color w:val="262626"/>
          <w:sz w:val="21"/>
          <w:szCs w:val="21"/>
        </w:rPr>
        <w:t xml:space="preserve">An optional retained advisory fee for larger clients (50+ learners per year) who want Tiespro to help design and continuously manage a dedicated internal Learning &amp; Development cost centre — turning what was a compliance function into an owned, ROI-tracked business unit.</w:t>
      </w:r>
    </w:p>
    <w:p>
      <w:pPr>
        <w:spacing w:after="160" w:line="276"/>
      </w:pPr>
      <w:r>
        <w:rPr>
          <w:rFonts w:ascii="Arial" w:cs="Arial" w:eastAsia="Arial" w:hAnsi="Arial"/>
          <w:color w:val="262626"/>
          <w:sz w:val="21"/>
          <w:szCs w:val="21"/>
        </w:rPr>
        <w:t xml:space="preserve">Framing note for proposals: express Tiespro's fee against the client's existing compulsory SDL spend and the Section 12H benefit, not as new incremental cost — this is the crux of the “hybrid” positioning requested.</w:t>
      </w:r>
    </w:p>
    <w:p>
      <w:pPr>
        <w:pStyle w:val="Heading1"/>
        <w:pBdr>
          <w:bottom w:val="single" w:color="C9A84C" w:sz="8" w:space="4"/>
        </w:pBdr>
        <w:spacing w:after="200" w:before="400"/>
      </w:pPr>
      <w:r>
        <w:t xml:space="preserve">10. Worked Financial Illustration</w:t>
      </w:r>
    </w:p>
    <w:p>
      <w:pPr>
        <w:spacing w:after="160" w:line="276"/>
      </w:pPr>
      <w:r>
        <w:rPr>
          <w:rFonts w:ascii="Arial" w:cs="Arial" w:eastAsia="Arial" w:hAnsi="Arial"/>
          <w:color w:val="262626"/>
          <w:sz w:val="21"/>
          <w:szCs w:val="21"/>
        </w:rPr>
        <w:t xml:space="preserve">Illustrative only — for use in prospect conversations as a model to be recalculated against each client's actual payroll, tax position and cohort design, ideally with AN Accounting Services signing off the final figures before any number is put in writing to a client.</w:t>
      </w:r>
    </w:p>
    <w:p>
      <w:pPr>
        <w:pStyle w:val="Heading3"/>
        <w:spacing w:after="100" w:before="200"/>
      </w:pPr>
      <w:r>
        <w:t xml:space="preserve">Scenario: 20 learners, 12-month NQF 3–4 learnership (e.g. Freight Handler / Transport Clerk), full cohort completes, 15 absorbed into permanent roles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3000"/>
      </w:tblGrid>
      <w:tr>
        <w:tc>
          <w:tcPr>
            <w:tcW w:type="dxa" w:w="46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Item</w:t>
            </w:r>
          </w:p>
        </w:tc>
        <w:tc>
          <w:tcPr>
            <w:tcW w:type="dxa" w:w="22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Per Learner</w:t>
            </w:r>
          </w:p>
        </w:tc>
        <w:tc>
          <w:tcPr>
            <w:tcW w:type="dxa" w:w="30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Cohort of 20</w:t>
            </w:r>
          </w:p>
        </w:tc>
      </w:tr>
      <w:tr>
        <w:tc>
          <w:tcPr>
            <w:tcW w:type="dxa" w:w="4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Section 12H annual allowance (NQF 1–6, 12 full months)</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R40,000</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R800,000</w:t>
            </w:r>
          </w:p>
        </w:tc>
      </w:tr>
      <w:tr>
        <w:tc>
          <w:tcPr>
            <w:tcW w:type="dxa" w:w="4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Section 12H completion allowance (year of completion)</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R40,000</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R800,000</w:t>
            </w:r>
          </w:p>
        </w:tc>
      </w:tr>
      <w:tr>
        <w:tc>
          <w:tcPr>
            <w:tcW w:type="dxa" w:w="4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Total Section 12H tax deduction</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R80,000</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R1,600,000</w:t>
            </w:r>
          </w:p>
        </w:tc>
      </w:tr>
      <w:tr>
        <w:tc>
          <w:tcPr>
            <w:tcW w:type="dxa" w:w="4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Indicative tax saving at 27% corporate tax rate</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R21,600</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R432,000</w:t>
            </w:r>
          </w:p>
        </w:tc>
      </w:tr>
    </w:tbl>
    <w:p>
      <w:pPr>
        <w:spacing w:after="240" w:before="60"/>
      </w:pPr>
      <w:r>
        <w:rPr>
          <w:rFonts w:ascii="Arial" w:cs="Arial" w:eastAsia="Arial" w:hAnsi="Arial"/>
          <w:i/>
          <w:iCs/>
          <w:color w:val="595959"/>
          <w:sz w:val="18"/>
          <w:szCs w:val="18"/>
        </w:rPr>
        <w:t xml:space="preserve">Assumes each learnership runs a full 12 months within a single year of assessment and the qualification is NQF 1–6 — Tiespro's Truck Driver, Bus Driver, Taxi Driver, Freight Handler and Transport Clerk qualifications all fall in this band. Actual apportionment depends on the employer's financial year-end relative to the learnership start date.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3000"/>
      </w:tblGrid>
      <w:tr>
        <w:tc>
          <w:tcPr>
            <w:tcW w:type="dxa" w:w="46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Item</w:t>
            </w:r>
          </w:p>
        </w:tc>
        <w:tc>
          <w:tcPr>
            <w:tcW w:type="dxa" w:w="22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Per Learner</w:t>
            </w:r>
          </w:p>
        </w:tc>
        <w:tc>
          <w:tcPr>
            <w:tcW w:type="dxa" w:w="30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15 Absorbed Learners</w:t>
            </w:r>
          </w:p>
        </w:tc>
      </w:tr>
      <w:tr>
        <w:tc>
          <w:tcPr>
            <w:tcW w:type="dxa" w:w="4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Indicative maximum ETI (year 1, qualifying remuneration band)</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Up to R30,000</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Up to R450,000</w:t>
            </w:r>
          </w:p>
        </w:tc>
      </w:tr>
    </w:tbl>
    <w:p>
      <w:pPr>
        <w:spacing w:after="240" w:before="60"/>
      </w:pPr>
      <w:r>
        <w:rPr>
          <w:rFonts w:ascii="Arial" w:cs="Arial" w:eastAsia="Arial" w:hAnsi="Arial"/>
          <w:i/>
          <w:iCs/>
          <w:color w:val="595959"/>
          <w:sz w:val="18"/>
          <w:szCs w:val="18"/>
        </w:rPr>
        <w:t xml:space="preserve">Illustrative maximum only. The actual monthly ETI amount depends on the absorbed employee's exact remuneration relative to the qualifying band, hours worked, and age at each month-end — it must be calculated employee-by-employee through the client's payroll system, not assumed at the maximum rate.</w:t>
      </w:r>
    </w:p>
    <w:p>
      <w:pPr>
        <w:spacing w:after="160" w:line="276"/>
      </w:pPr>
      <w:r>
        <w:rPr>
          <w:rFonts w:ascii="Arial" w:cs="Arial" w:eastAsia="Arial" w:hAnsi="Arial"/>
          <w:color w:val="262626"/>
          <w:sz w:val="21"/>
          <w:szCs w:val="21"/>
        </w:rPr>
        <w:t xml:space="preserve">On this illustration, a single 20-learner cohort could represent on the order of R400,000–R900,000 in combined tax deduction value and PAYE relief in year one alone — before any Skills Development Levy mandatory grant reclaim, and before quantifying the B-BBEE scorecard benefit. This is the number that should anchor the conversation with the client's CFO, not the training fee.</w:t>
      </w:r>
    </w:p>
    <w:p>
      <w:pPr>
        <w:pStyle w:val="Heading1"/>
        <w:pBdr>
          <w:bottom w:val="single" w:color="C9A84C" w:sz="8" w:space="4"/>
        </w:pBdr>
        <w:spacing w:after="200" w:before="400"/>
      </w:pPr>
      <w:r>
        <w:t xml:space="preserve">11. Implementation Roadmap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800"/>
      </w:tblGrid>
      <w:tr>
        <w:tc>
          <w:tcPr>
            <w:tcW w:type="dxa" w:w="18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Horizon</w:t>
            </w:r>
          </w:p>
        </w:tc>
        <w:tc>
          <w:tcPr>
            <w:tcW w:type="dxa" w:w="42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Focus</w:t>
            </w:r>
          </w:p>
        </w:tc>
        <w:tc>
          <w:tcPr>
            <w:tcW w:type="dxa" w:w="38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Key Actions</w:t>
            </w:r>
          </w:p>
        </w:tc>
      </w:tr>
      <w:tr>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Days 1–30</w:t>
            </w:r>
          </w:p>
        </w:tc>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Proposition build &amp; warm-account activation</w:t>
            </w:r>
          </w:p>
        </w:tc>
        <w:tc>
          <w:tcPr>
            <w:tcW w:type="dxa" w:w="3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Finalise one-page value proposition and financial illustration template; brief eThekwini Municipality contact; validate Section 12H/ETI figures with AN Accounting Services</w:t>
            </w:r>
          </w:p>
        </w:tc>
      </w:tr>
      <w:tr>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Days 31–60</w:t>
            </w:r>
          </w:p>
        </w:tc>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Priority A outreach</w:t>
            </w:r>
          </w:p>
        </w:tc>
        <w:tc>
          <w:tcPr>
            <w:tcW w:type="dxa" w:w="3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Direct outreach to 9 Priority A accounts; target 4–6 discovery calls booked</w:t>
            </w:r>
          </w:p>
        </w:tc>
      </w:tr>
      <w:tr>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Days 61–90</w:t>
            </w:r>
          </w:p>
        </w:tc>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First pilot cohort</w:t>
            </w:r>
          </w:p>
        </w:tc>
        <w:tc>
          <w:tcPr>
            <w:tcW w:type="dxa" w:w="3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Convert at least one discovery call into a signed pilot cohort (10–20 learners); begin learner sourcing</w:t>
            </w:r>
          </w:p>
        </w:tc>
      </w:tr>
      <w:tr>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Months 4–6</w:t>
            </w:r>
          </w:p>
        </w:tc>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Priority B outreach &amp; pilot delivery</w:t>
            </w:r>
          </w:p>
        </w:tc>
        <w:tc>
          <w:tcPr>
            <w:tcW w:type="dxa" w:w="3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Begin Priority B outreach using the pilot as a reference case; deliver and track the pilot cohort</w:t>
            </w:r>
          </w:p>
        </w:tc>
      </w:tr>
      <w:tr>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Months 7–12</w:t>
            </w:r>
          </w:p>
        </w:tc>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Scale &amp; Priority C</w:t>
            </w:r>
          </w:p>
        </w:tc>
        <w:tc>
          <w:tcPr>
            <w:tcW w:type="dxa" w:w="3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Formalise the retained-advisory offer for larger clients; expand to Priority C accounts; document absorption and tax-saving outcomes as case studies</w:t>
            </w:r>
          </w:p>
        </w:tc>
      </w:tr>
    </w:tbl>
    <w:p>
      <w:pPr>
        <w:pStyle w:val="Heading1"/>
        <w:pBdr>
          <w:bottom w:val="single" w:color="C9A84C" w:sz="8" w:space="4"/>
        </w:pBdr>
        <w:spacing w:after="200" w:before="400"/>
      </w:pPr>
      <w:r>
        <w:t xml:space="preserve">12. Risk Register and Mitigations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100"/>
      </w:tblGrid>
      <w:tr>
        <w:tc>
          <w:tcPr>
            <w:tcW w:type="dxa" w:w="34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Risk</w:t>
            </w:r>
          </w:p>
        </w:tc>
        <w:tc>
          <w:tcPr>
            <w:tcW w:type="dxa" w:w="33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Impact</w:t>
            </w:r>
          </w:p>
        </w:tc>
        <w:tc>
          <w:tcPr>
            <w:tcW w:type="dxa" w:w="31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Mitigation</w:t>
            </w:r>
          </w:p>
        </w:tc>
      </w:tr>
      <w:tr>
        <w:tc>
          <w:tcPr>
            <w:tcW w:type="dxa" w:w="3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A quoted tax figure is later disputed by SARS or overstated to a client</w:t>
            </w:r>
          </w:p>
        </w:tc>
        <w:tc>
          <w:tcPr>
            <w:tcW w:type="dxa" w:w="33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Reputational and legal exposure</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Every client-facing tax figure signed off by AN Accounting Services before proposal issue; disclaimers on all documents</w:t>
            </w:r>
          </w:p>
        </w:tc>
      </w:tr>
      <w:tr>
        <w:tc>
          <w:tcPr>
            <w:tcW w:type="dxa" w:w="3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ETI incorrectly claimed by client's payroll team</w:t>
            </w:r>
          </w:p>
        </w:tc>
        <w:tc>
          <w:tcPr>
            <w:tcW w:type="dxa" w:w="33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100% penalty exposure for the client, reputational risk for Tiespro</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Tiespro supplies learner/completion records only; client's own accountant files the ETI claim</w:t>
            </w:r>
          </w:p>
        </w:tc>
      </w:tr>
      <w:tr>
        <w:tc>
          <w:tcPr>
            <w:tcW w:type="dxa" w:w="3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Learner drop-off before completion</w:t>
            </w:r>
          </w:p>
        </w:tc>
        <w:tc>
          <w:tcPr>
            <w:tcW w:type="dxa" w:w="33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Reduces both the completion allowance and the absorption pipeline</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Structured learner screening; workplace mentorship built into the delivery model</w:t>
            </w:r>
          </w:p>
        </w:tc>
      </w:tr>
      <w:tr>
        <w:tc>
          <w:tcPr>
            <w:tcW w:type="dxa" w:w="3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Slow corporate decision cycles</w:t>
            </w:r>
          </w:p>
        </w:tc>
        <w:tc>
          <w:tcPr>
            <w:tcW w:type="dxa" w:w="33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Long sales cycle before first pilot revenue</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Prioritise warm/existing relationships first; keep initial ask small (10–20 learner pilot)</w:t>
            </w:r>
          </w:p>
        </w:tc>
      </w:tr>
      <w:tr>
        <w:tc>
          <w:tcPr>
            <w:tcW w:type="dxa" w:w="3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Section 12H sunset (1 April 2027) or ETI legislative change</w:t>
            </w:r>
          </w:p>
        </w:tc>
        <w:tc>
          <w:tcPr>
            <w:tcW w:type="dxa" w:w="33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Erosion of the core tax argument over time</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Monitor Budget Speech announcements annually; diversify the pitch toward BEE and retention value so it does not rely on tax incentives alone</w:t>
            </w:r>
          </w:p>
        </w:tc>
      </w:tr>
    </w:tbl>
    <w:p>
      <w:pPr>
        <w:pStyle w:val="Heading1"/>
        <w:pBdr>
          <w:bottom w:val="single" w:color="C9A84C" w:sz="8" w:space="4"/>
        </w:pBdr>
        <w:spacing w:after="200" w:before="400"/>
      </w:pPr>
      <w:r>
        <w:t xml:space="preserve">13. Governance, Compliance and Disclaimers</w:t>
      </w:r>
    </w:p>
    <w:p>
      <w:pPr>
        <w:pStyle w:val="ListParagraph"/>
        <w:numPr>
          <w:ilvl w:val="0"/>
          <w:numId w:val="1"/>
        </w:numPr>
        <w:spacing w:after="90" w:line="264"/>
      </w:pPr>
      <w:r>
        <w:rPr>
          <w:rFonts w:ascii="Arial" w:cs="Arial" w:eastAsia="Arial" w:hAnsi="Arial"/>
          <w:color w:val="262626"/>
          <w:sz w:val="21"/>
          <w:szCs w:val="21"/>
        </w:rPr>
        <w:t xml:space="preserve">This document is a strategic and marketing planning tool. It does not constitute tax, legal or B-BBEE verification advice.</w:t>
      </w:r>
    </w:p>
    <w:p>
      <w:pPr>
        <w:pStyle w:val="ListParagraph"/>
        <w:numPr>
          <w:ilvl w:val="0"/>
          <w:numId w:val="1"/>
        </w:numPr>
        <w:spacing w:after="90" w:line="264"/>
      </w:pPr>
      <w:r>
        <w:rPr>
          <w:rFonts w:ascii="Arial" w:cs="Arial" w:eastAsia="Arial" w:hAnsi="Arial"/>
          <w:color w:val="262626"/>
          <w:sz w:val="21"/>
          <w:szCs w:val="21"/>
        </w:rPr>
        <w:t xml:space="preserve">All Section 12H, ETI and B-BBEE figures must be confirmed against each prospective client's specific payroll, tax position and applicable sector code before being committed to in a signed proposal.</w:t>
      </w:r>
    </w:p>
    <w:p>
      <w:pPr>
        <w:pStyle w:val="ListParagraph"/>
        <w:numPr>
          <w:ilvl w:val="0"/>
          <w:numId w:val="1"/>
        </w:numPr>
        <w:spacing w:after="90" w:line="264"/>
      </w:pPr>
      <w:r>
        <w:rPr>
          <w:rFonts w:ascii="Arial" w:cs="Arial" w:eastAsia="Arial" w:hAnsi="Arial"/>
          <w:color w:val="262626"/>
          <w:sz w:val="21"/>
          <w:szCs w:val="21"/>
        </w:rPr>
        <w:t xml:space="preserve">Augustine Mulenga (AN Accounting Services) is the designated reviewing accountant for tax-related figures used in client-facing materials.</w:t>
      </w:r>
    </w:p>
    <w:p>
      <w:pPr>
        <w:pStyle w:val="ListParagraph"/>
        <w:numPr>
          <w:ilvl w:val="0"/>
          <w:numId w:val="1"/>
        </w:numPr>
        <w:spacing w:after="90" w:line="264"/>
      </w:pPr>
      <w:r>
        <w:rPr>
          <w:rFonts w:ascii="Arial" w:cs="Arial" w:eastAsia="Arial" w:hAnsi="Arial"/>
          <w:color w:val="262626"/>
          <w:sz w:val="21"/>
          <w:szCs w:val="21"/>
        </w:rPr>
        <w:t xml:space="preserve">Company names, sizes and structures in the target client list are drawn from public information and require direct verification before formal outreach.</w:t>
      </w:r>
    </w:p>
    <w:p>
      <w:pPr>
        <w:pStyle w:val="ListParagraph"/>
        <w:numPr>
          <w:ilvl w:val="0"/>
          <w:numId w:val="1"/>
        </w:numPr>
        <w:spacing w:after="90" w:line="264"/>
      </w:pPr>
      <w:r>
        <w:rPr>
          <w:rFonts w:ascii="Arial" w:cs="Arial" w:eastAsia="Arial" w:hAnsi="Arial"/>
          <w:color w:val="262626"/>
          <w:sz w:val="21"/>
          <w:szCs w:val="21"/>
        </w:rPr>
        <w:t xml:space="preserve">Legal documentation for client engagements (learnership agreements, service agreements) should be drawn up or reviewed by Arusha Naidoo and Associates.</w:t>
      </w:r>
    </w:p>
    <w:p>
      <w:r>
        <w:br w:type="page"/>
      </w:r>
    </w:p>
    <w:p>
      <w:pPr>
        <w:pStyle w:val="Heading1"/>
        <w:pBdr>
          <w:bottom w:val="single" w:color="C9A84C" w:sz="8" w:space="4"/>
        </w:pBdr>
        <w:spacing w:after="200" w:before="400"/>
      </w:pPr>
      <w:r>
        <w:t xml:space="preserve">Appendix A: Reference — Section 12H and ETI at a Glance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00"/>
      </w:tblGrid>
      <w:tr>
        <w:tc>
          <w:tcPr>
            <w:tcW w:type="dxa" w:w="26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Incentive</w:t>
            </w:r>
          </w:p>
        </w:tc>
        <w:tc>
          <w:tcPr>
            <w:tcW w:type="dxa" w:w="42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Mechanic</w:t>
            </w:r>
          </w:p>
        </w:tc>
        <w:tc>
          <w:tcPr>
            <w:tcW w:type="dxa" w:w="300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Sunset / Duration</w:t>
            </w:r>
          </w:p>
        </w:tc>
      </w:tr>
      <w:t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Section 12H Learnership Allowance</w:t>
            </w:r>
          </w:p>
        </w:tc>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Annual + completion tax deduction per registered learner; R40,000/R40,000 for NQF 1–6 (able-bodied)</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Agreements entered before 1 April 2027</w:t>
            </w:r>
          </w:p>
        </w:tc>
      </w:tr>
      <w:t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Employment Tax Incentive (ETI)</w:t>
            </w:r>
          </w:p>
        </w:tc>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Monthly PAYE reduction for qualifying employees aged 18–29, up to 24 months per employee</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Runs to 28 February 2029</w:t>
            </w:r>
          </w:p>
        </w:tc>
      </w:tr>
      <w:t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SDL Mandatory Grant</w:t>
            </w:r>
          </w:p>
        </w:tc>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Up to 20% of SDL contribution reclaimed via compliant WSP/ATR submission</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Ongoing, conditional on annual submission</w:t>
            </w:r>
          </w:p>
        </w:tc>
      </w:tr>
      <w:t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B-BBEE Skills Development / Employment Equity</w:t>
            </w:r>
          </w:p>
        </w:tc>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Scorecard points for training spend and absorption of learners, per applicable sector code</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Ongoing, code-dependent</w:t>
            </w:r>
          </w:p>
        </w:tc>
      </w:tr>
    </w:tbl>
    <w:p>
      <w:pPr>
        <w:spacing w:after="240" w:before="60"/>
      </w:pPr>
      <w:r>
        <w:rPr>
          <w:rFonts w:ascii="Arial" w:cs="Arial" w:eastAsia="Arial" w:hAnsi="Arial"/>
          <w:i/>
          <w:iCs/>
          <w:color w:val="595959"/>
          <w:sz w:val="18"/>
          <w:szCs w:val="18"/>
        </w:rPr>
        <w:t xml:space="preserve">Sources: SARS Interpretation Note 20 (Issue 9, effective April 2025); SARS Employment Tax Incentive guidance and the April 2025 rate amendments; National Treasury 2024 and 2025 Budget Reviews. Verify current figures at sars.gov.za before quoting to a client, as rates and thresholds are adjusted annually.</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Page </w:t>
    </w:r>
    <w:r>
      <w:rPr>
        <w:rFonts w:ascii="Arial" w:cs="Arial" w:eastAsia="Arial" w:hAnsi="Arial"/>
        <w:color w:val="808080"/>
        <w:sz w:val="15"/>
        <w:szCs w:val="15"/>
      </w:rPr>
      <w:fldChar w:fldCharType="begin"/>
      <w:instrText xml:space="preserve">PAGE</w:instrText>
      <w:fldChar w:fldCharType="separate"/>
      <w:fldChar w:fldCharType="end"/>
    </w:r>
    <w:r>
      <w:rPr>
        <w:rFonts w:ascii="Arial" w:cs="Arial" w:eastAsia="Arial" w:hAnsi="Arial"/>
        <w:color w:val="808080"/>
        <w:sz w:val="15"/>
        <w:szCs w:val="15"/>
      </w:rPr>
      <w:t xml:space="preserve"> of </w:t>
    </w:r>
    <w:r>
      <w:rPr>
        <w:rFonts w:ascii="Arial" w:cs="Arial" w:eastAsia="Arial" w:hAnsi="Arial"/>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Arial" w:cs="Arial" w:eastAsia="Arial" w:hAnsi="Arial"/>
        <w:color w:val="808080"/>
        <w:sz w:val="15"/>
        <w:szCs w:val="15"/>
      </w:rPr>
      <w:t xml:space="preserve">Tiespro Training Institute  |  Praeto Group Holdings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Arial" w:cs="Arial" w:eastAsia="Arial" w:hAnsi="Arial"/>
      <w:b/>
      <w:bCs/>
      <w:color w:val="1F3864"/>
      <w:sz w:val="30"/>
      <w:szCs w:val="30"/>
    </w:rPr>
  </w:style>
  <w:style w:type="paragraph" w:styleId="Heading2">
    <w:name w:val="Heading 2"/>
    <w:basedOn w:val="Normal"/>
    <w:next w:val="Normal"/>
    <w:pPr>
      <w:spacing w:after="140" w:before="280"/>
    </w:pPr>
    <w:rPr>
      <w:rFonts w:ascii="Arial" w:cs="Arial" w:eastAsia="Arial" w:hAnsi="Arial"/>
      <w:b/>
      <w:bCs/>
      <w:color w:val="1F3864"/>
      <w:sz w:val="25"/>
      <w:szCs w:val="25"/>
    </w:rPr>
  </w:style>
  <w:style w:type="paragraph" w:styleId="Heading3">
    <w:name w:val="Heading 3"/>
    <w:basedOn w:val="Normal"/>
    <w:next w:val="Normal"/>
    <w:pPr>
      <w:spacing w:after="100" w:before="200"/>
    </w:pPr>
    <w:rPr>
      <w:rFonts w:ascii="Arial" w:cs="Arial" w:eastAsia="Arial" w:hAnsi="Arial"/>
      <w:b/>
      <w:bCs/>
      <w:color w:val="C9A8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2026-07-01T14:16:32.437Z</dcterms:created>
  <dcterms:modified xsi:type="dcterms:W3CDTF">2026-07-01T14:16:32.438Z</dcterms:modified>
</cp:coreProperties>
</file>

<file path=docProps/custom.xml><?xml version="1.0" encoding="utf-8"?>
<Properties xmlns="http://schemas.openxmlformats.org/officeDocument/2006/custom-properties" xmlns:vt="http://schemas.openxmlformats.org/officeDocument/2006/docPropsVTypes"/>
</file>