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C9A84C"/>
          <w:spacing w:val="40"/>
          <w:sz w:val="20"/>
          <w:szCs w:val="20"/>
        </w:rPr>
        <w:t xml:space="preserve">PRAETO COMPLIANCE CLUB</w:t>
      </w:r>
    </w:p>
    <w:p>
      <w:pPr>
        <w:spacing w:after="60"/>
      </w:pPr>
      <w:r>
        <w:rPr>
          <w:rFonts w:ascii="Arial" w:cs="Arial" w:eastAsia="Arial" w:hAnsi="Arial"/>
          <w:b/>
          <w:bCs/>
          <w:color w:val="1F3864"/>
          <w:sz w:val="44"/>
          <w:szCs w:val="44"/>
        </w:rPr>
        <w:t xml:space="preserve">Affordability Assessment and Reckless Lending Prevention Pack</w:t>
      </w:r>
    </w:p>
    <w:p>
      <w:pPr>
        <w:spacing w:after="120"/>
      </w:pPr>
      <w:r>
        <w:rPr>
          <w:rFonts w:ascii="Arial" w:cs="Arial" w:eastAsia="Arial" w:hAnsi="Arial"/>
          <w:i/>
          <w:iCs/>
          <w:color w:val="595959"/>
          <w:sz w:val="22"/>
          <w:szCs w:val="22"/>
        </w:rPr>
        <w:t xml:space="preserve">Sections 80–81 of the NCA and the Affordability Assessment Regulations</w:t>
      </w:r>
    </w:p>
    <w:p>
      <w:pPr>
        <w:pBdr>
          <w:bottom w:val="single" w:color="C9A84C" w:sz="12"/>
        </w:pBdr>
        <w:spacing w:after="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Document title</w:t>
            </w:r>
          </w:p>
        </w:tc>
        <w:tc>
          <w:tcPr>
            <w:tcW w:type="dxa" w:w="67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val="false"/>
                <w:bCs w:val="false"/>
                <w:color w:val="FFFFFF"/>
                <w:sz w:val="18"/>
                <w:szCs w:val="18"/>
              </w:rPr>
              <w:t xml:space="preserve">Affordability Assessment and Reckless Lending Prevention Pack</w:t>
            </w:r>
          </w:p>
        </w:tc>
      </w:tr>
      <w:tr>
        <w:tc>
          <w:tcPr>
            <w:tcW w:type="dxa" w:w="2600"/>
            <w:tcBorders>
              <w:top w:val="single" w:color="1F3864" w:sz="4"/>
              <w:left w:val="single" w:color="1F3864" w:sz="4"/>
              <w:bottom w:val="single" w:color="1F3864" w:sz="4"/>
              <w:right w:val="single" w:color="1F3864" w:sz="4"/>
            </w:tcBorders>
            <w:shd w:fill="F2F0EA" w:val="clear"/>
            <w:tcMar>
              <w:top w:type="dxa" w:w="80"/>
              <w:left w:type="dxa" w:w="120"/>
              <w:bottom w:type="dxa" w:w="80"/>
              <w:right w:type="dxa" w:w="120"/>
            </w:tcMar>
          </w:tcPr>
          <w:p>
            <w:r>
              <w:rPr>
                <w:rFonts w:ascii="Arial" w:cs="Arial" w:eastAsia="Arial" w:hAnsi="Arial"/>
                <w:b/>
                <w:bCs/>
                <w:color w:val="1F3864"/>
                <w:sz w:val="18"/>
                <w:szCs w:val="18"/>
              </w:rPr>
              <w:t xml:space="preserve">Regulatory category</w:t>
            </w:r>
          </w:p>
        </w:tc>
        <w:tc>
          <w:tcPr>
            <w:tcW w:type="dxa" w:w="676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National Credit Act</w:t>
            </w:r>
          </w:p>
        </w:tc>
      </w:tr>
      <w:tr>
        <w:tc>
          <w:tcPr>
            <w:tcW w:type="dxa" w:w="2600"/>
            <w:tcBorders>
              <w:top w:val="single" w:color="1F3864" w:sz="4"/>
              <w:left w:val="single" w:color="1F3864" w:sz="4"/>
              <w:bottom w:val="single" w:color="1F3864" w:sz="4"/>
              <w:right w:val="single" w:color="1F3864" w:sz="4"/>
            </w:tcBorders>
            <w:shd w:fill="F2F0EA" w:val="clear"/>
            <w:tcMar>
              <w:top w:type="dxa" w:w="80"/>
              <w:left w:type="dxa" w:w="120"/>
              <w:bottom w:type="dxa" w:w="80"/>
              <w:right w:type="dxa" w:w="120"/>
            </w:tcMar>
          </w:tcPr>
          <w:p>
            <w:r>
              <w:rPr>
                <w:rFonts w:ascii="Arial" w:cs="Arial" w:eastAsia="Arial" w:hAnsi="Arial"/>
                <w:b/>
                <w:bCs/>
                <w:color w:val="1F3864"/>
                <w:sz w:val="18"/>
                <w:szCs w:val="18"/>
              </w:rPr>
              <w:t xml:space="preserve">Membership tier</w:t>
            </w:r>
          </w:p>
        </w:tc>
        <w:tc>
          <w:tcPr>
            <w:tcW w:type="dxa" w:w="676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Elite</w:t>
            </w:r>
          </w:p>
        </w:tc>
      </w:tr>
      <w:tr>
        <w:tc>
          <w:tcPr>
            <w:tcW w:type="dxa" w:w="2600"/>
            <w:tcBorders>
              <w:top w:val="single" w:color="1F3864" w:sz="4"/>
              <w:left w:val="single" w:color="1F3864" w:sz="4"/>
              <w:bottom w:val="single" w:color="1F3864" w:sz="4"/>
              <w:right w:val="single" w:color="1F3864" w:sz="4"/>
            </w:tcBorders>
            <w:shd w:fill="F2F0EA" w:val="clear"/>
            <w:tcMar>
              <w:top w:type="dxa" w:w="80"/>
              <w:left w:type="dxa" w:w="120"/>
              <w:bottom w:type="dxa" w:w="80"/>
              <w:right w:type="dxa" w:w="120"/>
            </w:tcMar>
          </w:tcPr>
          <w:p>
            <w:r>
              <w:rPr>
                <w:rFonts w:ascii="Arial" w:cs="Arial" w:eastAsia="Arial" w:hAnsi="Arial"/>
                <w:b/>
                <w:bCs/>
                <w:color w:val="1F3864"/>
                <w:sz w:val="18"/>
                <w:szCs w:val="18"/>
              </w:rPr>
              <w:t xml:space="preserve">Version / status</w:t>
            </w:r>
          </w:p>
        </w:tc>
        <w:tc>
          <w:tcPr>
            <w:tcW w:type="dxa" w:w="676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v1.0 — Template for adoption</w:t>
            </w:r>
          </w:p>
        </w:tc>
      </w:tr>
      <w:tr>
        <w:tc>
          <w:tcPr>
            <w:tcW w:type="dxa" w:w="2600"/>
            <w:tcBorders>
              <w:top w:val="single" w:color="1F3864" w:sz="4"/>
              <w:left w:val="single" w:color="1F3864" w:sz="4"/>
              <w:bottom w:val="single" w:color="1F3864" w:sz="4"/>
              <w:right w:val="single" w:color="1F3864" w:sz="4"/>
            </w:tcBorders>
            <w:shd w:fill="F2F0EA" w:val="clear"/>
            <w:tcMar>
              <w:top w:type="dxa" w:w="80"/>
              <w:left w:type="dxa" w:w="120"/>
              <w:bottom w:type="dxa" w:w="80"/>
              <w:right w:type="dxa" w:w="120"/>
            </w:tcMar>
          </w:tcPr>
          <w:p>
            <w:r>
              <w:rPr>
                <w:rFonts w:ascii="Arial" w:cs="Arial" w:eastAsia="Arial" w:hAnsi="Arial"/>
                <w:b/>
                <w:bCs/>
                <w:color w:val="1F3864"/>
                <w:sz w:val="18"/>
                <w:szCs w:val="18"/>
              </w:rPr>
              <w:t xml:space="preserve">Adopted by (FSP)</w:t>
            </w:r>
          </w:p>
        </w:tc>
        <w:tc>
          <w:tcPr>
            <w:tcW w:type="dxa" w:w="676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[FSP NAME] (FSP No. [FSP NUMBER])</w:t>
            </w:r>
          </w:p>
        </w:tc>
      </w:tr>
      <w:tr>
        <w:tc>
          <w:tcPr>
            <w:tcW w:type="dxa" w:w="2600"/>
            <w:tcBorders>
              <w:top w:val="single" w:color="1F3864" w:sz="4"/>
              <w:left w:val="single" w:color="1F3864" w:sz="4"/>
              <w:bottom w:val="single" w:color="1F3864" w:sz="4"/>
              <w:right w:val="single" w:color="1F3864" w:sz="4"/>
            </w:tcBorders>
            <w:shd w:fill="F2F0EA" w:val="clear"/>
            <w:tcMar>
              <w:top w:type="dxa" w:w="80"/>
              <w:left w:type="dxa" w:w="120"/>
              <w:bottom w:type="dxa" w:w="80"/>
              <w:right w:type="dxa" w:w="120"/>
            </w:tcMar>
          </w:tcPr>
          <w:p>
            <w:r>
              <w:rPr>
                <w:rFonts w:ascii="Arial" w:cs="Arial" w:eastAsia="Arial" w:hAnsi="Arial"/>
                <w:b/>
                <w:bCs/>
                <w:color w:val="1F3864"/>
                <w:sz w:val="18"/>
                <w:szCs w:val="18"/>
              </w:rPr>
              <w:t xml:space="preserve">Owner</w:t>
            </w:r>
          </w:p>
        </w:tc>
        <w:tc>
          <w:tcPr>
            <w:tcW w:type="dxa" w:w="676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[KEY INDIVIDUAL NAME], Key Individual</w:t>
            </w:r>
          </w:p>
        </w:tc>
      </w:tr>
      <w:tr>
        <w:tc>
          <w:tcPr>
            <w:tcW w:type="dxa" w:w="2600"/>
            <w:tcBorders>
              <w:top w:val="single" w:color="1F3864" w:sz="4"/>
              <w:left w:val="single" w:color="1F3864" w:sz="4"/>
              <w:bottom w:val="single" w:color="1F3864" w:sz="4"/>
              <w:right w:val="single" w:color="1F3864" w:sz="4"/>
            </w:tcBorders>
            <w:shd w:fill="F2F0EA" w:val="clear"/>
            <w:tcMar>
              <w:top w:type="dxa" w:w="80"/>
              <w:left w:type="dxa" w:w="120"/>
              <w:bottom w:type="dxa" w:w="80"/>
              <w:right w:type="dxa" w:w="120"/>
            </w:tcMar>
          </w:tcPr>
          <w:p>
            <w:r>
              <w:rPr>
                <w:rFonts w:ascii="Arial" w:cs="Arial" w:eastAsia="Arial" w:hAnsi="Arial"/>
                <w:b/>
                <w:bCs/>
                <w:color w:val="1F3864"/>
                <w:sz w:val="18"/>
                <w:szCs w:val="18"/>
              </w:rPr>
              <w:t xml:space="preserve">Approval date / next review</w:t>
            </w:r>
          </w:p>
        </w:tc>
        <w:tc>
          <w:tcPr>
            <w:tcW w:type="dxa" w:w="676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[DATE]  /  [DATE + 12 MONTHS]</w:t>
            </w:r>
          </w:p>
        </w:tc>
      </w:tr>
    </w:tbl>
    <w:p>
      <w:pPr>
        <w:spacing w:after="240"/>
      </w:pPr>
    </w:p>
    <w:p>
      <w:pPr>
        <w:pBdr>
          <w:bottom w:val="single" w:color="C9A84C" w:sz="6"/>
        </w:pBdr>
        <w:spacing w:after="120" w:before="220"/>
      </w:pPr>
      <w:r>
        <w:rPr>
          <w:rFonts w:ascii="Arial" w:cs="Arial" w:eastAsia="Arial" w:hAnsi="Arial"/>
          <w:b/>
          <w:bCs/>
          <w:color w:val="1F3864"/>
          <w:sz w:val="26"/>
          <w:szCs w:val="26"/>
        </w:rPr>
        <w:t xml:space="preserve">1.  Purpose</w:t>
      </w:r>
    </w:p>
    <w:p>
      <w:pPr>
        <w:spacing w:after="140" w:line="300"/>
        <w:jc w:val="both"/>
      </w:pPr>
      <w:r>
        <w:rPr>
          <w:rFonts w:ascii="Arial" w:cs="Arial" w:eastAsia="Arial" w:hAnsi="Arial"/>
          <w:b w:val="false"/>
          <w:bCs w:val="false"/>
          <w:i w:val="false"/>
          <w:iCs w:val="false"/>
          <w:color w:val="000000"/>
          <w:sz w:val="21"/>
          <w:szCs w:val="21"/>
        </w:rPr>
        <w:t xml:space="preserve">For members that are registered credit providers (or that intermediate credit agreements): this pack implements the affordability assessment required before entering into a credit agreement, to prevent reckless credit under ss.80–81 of the National Credit Act 34 of 2005. </w:t>
      </w:r>
      <w:r>
        <w:rPr>
          <w:rFonts w:ascii="Arial" w:cs="Arial" w:eastAsia="Arial" w:hAnsi="Arial"/>
          <w:b/>
          <w:bCs/>
          <w:color w:val="8A6D1D"/>
          <w:sz w:val="21"/>
          <w:szCs w:val="21"/>
        </w:rPr>
        <w:t xml:space="preserve">[FSP NAME]</w:t>
      </w:r>
      <w:r>
        <w:rPr>
          <w:rFonts w:ascii="Arial" w:cs="Arial" w:eastAsia="Arial" w:hAnsi="Arial"/>
          <w:b w:val="false"/>
          <w:bCs w:val="false"/>
          <w:i w:val="false"/>
          <w:iCs w:val="false"/>
          <w:color w:val="000000"/>
          <w:sz w:val="21"/>
          <w:szCs w:val="21"/>
        </w:rPr>
        <w:t xml:space="preserve">’s NCR registration number: </w:t>
      </w:r>
      <w:r>
        <w:rPr>
          <w:rFonts w:ascii="Arial" w:cs="Arial" w:eastAsia="Arial" w:hAnsi="Arial"/>
          <w:b/>
          <w:bCs/>
          <w:color w:val="8A6D1D"/>
          <w:sz w:val="21"/>
          <w:szCs w:val="21"/>
        </w:rPr>
        <w:t xml:space="preserve">[NCRCP NUMBER]</w:t>
      </w:r>
      <w:r>
        <w:rPr>
          <w:rFonts w:ascii="Arial" w:cs="Arial" w:eastAsia="Arial" w:hAnsi="Arial"/>
          <w:b w:val="false"/>
          <w:bCs w:val="false"/>
          <w:i w:val="false"/>
          <w:iCs w:val="false"/>
          <w:color w:val="000000"/>
          <w:sz w:val="21"/>
          <w:szCs w:val="21"/>
        </w:rPr>
        <w:t xml:space="preserve">.</w:t>
      </w:r>
    </w:p>
    <w:p>
      <w:pPr>
        <w:pBdr>
          <w:bottom w:val="single" w:color="C9A84C" w:sz="6"/>
        </w:pBdr>
        <w:spacing w:after="120" w:before="220"/>
      </w:pPr>
      <w:r>
        <w:rPr>
          <w:rFonts w:ascii="Arial" w:cs="Arial" w:eastAsia="Arial" w:hAnsi="Arial"/>
          <w:b/>
          <w:bCs/>
          <w:color w:val="1F3864"/>
          <w:sz w:val="26"/>
          <w:szCs w:val="26"/>
        </w:rPr>
        <w:t xml:space="preserve">2.  Assessment Steps</w:t>
      </w:r>
    </w:p>
    <w:p>
      <w:pPr>
        <w:pStyle w:val="ListParagraph"/>
        <w:numPr>
          <w:ilvl w:val="0"/>
          <w:numId w:val="2"/>
        </w:numPr>
        <w:spacing w:after="60" w:line="300"/>
        <w:jc w:val="both"/>
      </w:pPr>
      <w:r>
        <w:rPr>
          <w:rFonts w:ascii="Arial" w:cs="Arial" w:eastAsia="Arial" w:hAnsi="Arial"/>
          <w:b w:val="false"/>
          <w:bCs w:val="false"/>
          <w:i w:val="false"/>
          <w:iCs w:val="false"/>
          <w:color w:val="000000"/>
          <w:sz w:val="21"/>
          <w:szCs w:val="21"/>
        </w:rPr>
        <w:t xml:space="preserve">Step 1 — Verify gross income: latest three payslips or bank statements (or the regulation-appropriate alternative for informal income).</w:t>
      </w:r>
    </w:p>
    <w:p>
      <w:pPr>
        <w:pStyle w:val="ListParagraph"/>
        <w:numPr>
          <w:ilvl w:val="0"/>
          <w:numId w:val="2"/>
        </w:numPr>
        <w:spacing w:after="60" w:line="300"/>
        <w:jc w:val="both"/>
      </w:pPr>
      <w:r>
        <w:rPr>
          <w:rFonts w:ascii="Arial" w:cs="Arial" w:eastAsia="Arial" w:hAnsi="Arial"/>
          <w:b w:val="false"/>
          <w:bCs w:val="false"/>
          <w:i w:val="false"/>
          <w:iCs w:val="false"/>
          <w:color w:val="000000"/>
          <w:sz w:val="21"/>
          <w:szCs w:val="21"/>
        </w:rPr>
        <w:t xml:space="preserve">Step 2 — Determine discretionary income: gross income less statutory deductions, minimum living expenses (regulation table or validated client declaration, whichever is higher), and existing debt obligations per a current credit bureau report.</w:t>
      </w:r>
    </w:p>
    <w:p>
      <w:pPr>
        <w:pStyle w:val="ListParagraph"/>
        <w:numPr>
          <w:ilvl w:val="0"/>
          <w:numId w:val="2"/>
        </w:numPr>
        <w:spacing w:after="60" w:line="300"/>
        <w:jc w:val="both"/>
      </w:pPr>
      <w:r>
        <w:rPr>
          <w:rFonts w:ascii="Arial" w:cs="Arial" w:eastAsia="Arial" w:hAnsi="Arial"/>
          <w:b w:val="false"/>
          <w:bCs w:val="false"/>
          <w:i w:val="false"/>
          <w:iCs w:val="false"/>
          <w:color w:val="000000"/>
          <w:sz w:val="21"/>
          <w:szCs w:val="21"/>
        </w:rPr>
        <w:t xml:space="preserve">Step 3 — Confirm debt repayment history: bureau report drawn within </w:t>
      </w:r>
      <w:r>
        <w:rPr>
          <w:rFonts w:ascii="Arial" w:cs="Arial" w:eastAsia="Arial" w:hAnsi="Arial"/>
          <w:b/>
          <w:bCs/>
          <w:color w:val="8A6D1D"/>
          <w:sz w:val="21"/>
          <w:szCs w:val="21"/>
        </w:rPr>
        <w:t xml:space="preserve">[7]</w:t>
      </w:r>
      <w:r>
        <w:rPr>
          <w:rFonts w:ascii="Arial" w:cs="Arial" w:eastAsia="Arial" w:hAnsi="Arial"/>
          <w:b w:val="false"/>
          <w:bCs w:val="false"/>
          <w:i w:val="false"/>
          <w:iCs w:val="false"/>
          <w:color w:val="000000"/>
          <w:sz w:val="21"/>
          <w:szCs w:val="21"/>
        </w:rPr>
        <w:t xml:space="preserve"> business days of the assessment.</w:t>
      </w:r>
    </w:p>
    <w:p>
      <w:pPr>
        <w:pStyle w:val="ListParagraph"/>
        <w:numPr>
          <w:ilvl w:val="0"/>
          <w:numId w:val="2"/>
        </w:numPr>
        <w:spacing w:after="60" w:line="300"/>
        <w:jc w:val="both"/>
      </w:pPr>
      <w:r>
        <w:rPr>
          <w:rFonts w:ascii="Arial" w:cs="Arial" w:eastAsia="Arial" w:hAnsi="Arial"/>
          <w:b w:val="false"/>
          <w:bCs w:val="false"/>
          <w:i w:val="false"/>
          <w:iCs w:val="false"/>
          <w:color w:val="000000"/>
          <w:sz w:val="21"/>
          <w:szCs w:val="21"/>
        </w:rPr>
        <w:t xml:space="preserve">Step 4 — Instalment test: the new instalment (plus fees and credit life) must not exceed discretionary income; record the calculation.</w:t>
      </w:r>
    </w:p>
    <w:p>
      <w:pPr>
        <w:pStyle w:val="ListParagraph"/>
        <w:numPr>
          <w:ilvl w:val="0"/>
          <w:numId w:val="2"/>
        </w:numPr>
        <w:spacing w:after="60" w:line="300"/>
        <w:jc w:val="both"/>
      </w:pPr>
      <w:r>
        <w:rPr>
          <w:rFonts w:ascii="Arial" w:cs="Arial" w:eastAsia="Arial" w:hAnsi="Arial"/>
          <w:b w:val="false"/>
          <w:bCs w:val="false"/>
          <w:i w:val="false"/>
          <w:iCs w:val="false"/>
          <w:color w:val="000000"/>
          <w:sz w:val="21"/>
          <w:szCs w:val="21"/>
        </w:rPr>
        <w:t xml:space="preserve">Step 5 — Record the client’s declaration of financial obligations and any expected changes.</w:t>
      </w:r>
    </w:p>
    <w:p>
      <w:pPr>
        <w:pBdr>
          <w:bottom w:val="single" w:color="C9A84C" w:sz="6"/>
        </w:pBdr>
        <w:spacing w:after="120" w:before="220"/>
      </w:pPr>
      <w:r>
        <w:rPr>
          <w:rFonts w:ascii="Arial" w:cs="Arial" w:eastAsia="Arial" w:hAnsi="Arial"/>
          <w:b/>
          <w:bCs/>
          <w:color w:val="1F3864"/>
          <w:sz w:val="26"/>
          <w:szCs w:val="26"/>
        </w:rPr>
        <w:t xml:space="preserve">3.  Assessment Worksheet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20"/>
        <w:gridCol w:w="3640"/>
      </w:tblGrid>
      <w:tr>
        <w:tc>
          <w:tcPr>
            <w:tcW w:type="dxa" w:w="572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Line</w:t>
            </w:r>
          </w:p>
        </w:tc>
        <w:tc>
          <w:tcPr>
            <w:tcW w:type="dxa" w:w="364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Amount (R)</w:t>
            </w:r>
          </w:p>
        </w:tc>
      </w:tr>
      <w:tr>
        <w:tc>
          <w:tcPr>
            <w:tcW w:type="dxa" w:w="57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Gross monthly income (verified)</w:t>
            </w:r>
          </w:p>
        </w:tc>
        <w:tc>
          <w:tcPr>
            <w:tcW w:type="dxa" w:w="364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r>
      <w:tr>
        <w:tc>
          <w:tcPr>
            <w:tcW w:type="dxa" w:w="57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Less: statutory deductions</w:t>
            </w:r>
          </w:p>
        </w:tc>
        <w:tc>
          <w:tcPr>
            <w:tcW w:type="dxa" w:w="364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r>
      <w:tr>
        <w:tc>
          <w:tcPr>
            <w:tcW w:type="dxa" w:w="57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Less: minimum living expenses</w:t>
            </w:r>
          </w:p>
        </w:tc>
        <w:tc>
          <w:tcPr>
            <w:tcW w:type="dxa" w:w="364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r>
      <w:tr>
        <w:tc>
          <w:tcPr>
            <w:tcW w:type="dxa" w:w="57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Less: existing credit obligations (bureau)</w:t>
            </w:r>
          </w:p>
        </w:tc>
        <w:tc>
          <w:tcPr>
            <w:tcW w:type="dxa" w:w="364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r>
      <w:tr>
        <w:tc>
          <w:tcPr>
            <w:tcW w:type="dxa" w:w="57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 Discretionary income</w:t>
            </w:r>
          </w:p>
        </w:tc>
        <w:tc>
          <w:tcPr>
            <w:tcW w:type="dxa" w:w="364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r>
      <w:tr>
        <w:tc>
          <w:tcPr>
            <w:tcW w:type="dxa" w:w="57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Proposed instalment (incl. fees/credit life)</w:t>
            </w:r>
          </w:p>
        </w:tc>
        <w:tc>
          <w:tcPr>
            <w:tcW w:type="dxa" w:w="364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r>
      <w:tr>
        <w:tc>
          <w:tcPr>
            <w:tcW w:type="dxa" w:w="57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Surplus / (shortfall)</w:t>
            </w:r>
          </w:p>
        </w:tc>
        <w:tc>
          <w:tcPr>
            <w:tcW w:type="dxa" w:w="364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r>
    </w:tbl>
    <w:p>
      <w:pPr>
        <w:spacing w:after="120"/>
      </w:pPr>
    </w:p>
    <w:p>
      <w:pPr>
        <w:pBdr>
          <w:bottom w:val="single" w:color="C9A84C" w:sz="6"/>
        </w:pBdr>
        <w:spacing w:after="120" w:before="220"/>
      </w:pPr>
      <w:r>
        <w:rPr>
          <w:rFonts w:ascii="Arial" w:cs="Arial" w:eastAsia="Arial" w:hAnsi="Arial"/>
          <w:b/>
          <w:bCs/>
          <w:color w:val="1F3864"/>
          <w:sz w:val="26"/>
          <w:szCs w:val="26"/>
        </w:rPr>
        <w:t xml:space="preserve">4.  Outcomes and Prohibitions</w:t>
      </w:r>
    </w:p>
    <w:p>
      <w:pPr>
        <w:spacing w:after="140" w:line="300"/>
        <w:jc w:val="both"/>
      </w:pPr>
      <w:r>
        <w:rPr>
          <w:rFonts w:ascii="Arial" w:cs="Arial" w:eastAsia="Arial" w:hAnsi="Arial"/>
          <w:b w:val="false"/>
          <w:bCs w:val="false"/>
          <w:i w:val="false"/>
          <w:iCs w:val="false"/>
          <w:color w:val="000000"/>
          <w:sz w:val="21"/>
          <w:szCs w:val="21"/>
        </w:rPr>
        <w:t xml:space="preserve">Credit may only be extended where the assessment demonstrates affordability. Declining reasons are recorded and communicated. Reckless credit consequences (suspension or setting aside of the agreement) and prohibited charges are noted in staff training. Retain the full assessment file for the period required by the NCA.</w:t>
      </w:r>
    </w:p>
    <w:p>
      <w:pPr>
        <w:pBdr>
          <w:bottom w:val="single" w:color="C9A84C" w:sz="6"/>
        </w:pBdr>
        <w:spacing w:after="120" w:before="260"/>
      </w:pPr>
      <w:r>
        <w:rPr>
          <w:rFonts w:ascii="Arial" w:cs="Arial" w:eastAsia="Arial" w:hAnsi="Arial"/>
          <w:b/>
          <w:bCs/>
          <w:color w:val="1F3864"/>
          <w:sz w:val="26"/>
          <w:szCs w:val="26"/>
        </w:rPr>
        <w:t xml:space="preserve">5.  Adoption and Sign-Off</w:t>
      </w:r>
    </w:p>
    <w:p>
      <w:pPr>
        <w:spacing w:after="140" w:line="300"/>
        <w:jc w:val="both"/>
      </w:pPr>
      <w:r>
        <w:rPr>
          <w:rFonts w:ascii="Arial" w:cs="Arial" w:eastAsia="Arial" w:hAnsi="Arial"/>
          <w:b w:val="false"/>
          <w:bCs w:val="false"/>
          <w:i w:val="false"/>
          <w:iCs w:val="false"/>
          <w:color w:val="000000"/>
          <w:sz w:val="21"/>
          <w:szCs w:val="21"/>
        </w:rPr>
        <w:t xml:space="preserve">This document was tabled, adapted to the business of </w:t>
      </w:r>
      <w:r>
        <w:rPr>
          <w:rFonts w:ascii="Arial" w:cs="Arial" w:eastAsia="Arial" w:hAnsi="Arial"/>
          <w:b/>
          <w:bCs/>
          <w:color w:val="8A6D1D"/>
          <w:sz w:val="21"/>
          <w:szCs w:val="21"/>
        </w:rPr>
        <w:t xml:space="preserve">[FSP NAME]</w:t>
      </w:r>
      <w:r>
        <w:rPr>
          <w:rFonts w:ascii="Arial" w:cs="Arial" w:eastAsia="Arial" w:hAnsi="Arial"/>
          <w:b w:val="false"/>
          <w:bCs w:val="false"/>
          <w:i w:val="false"/>
          <w:iCs w:val="false"/>
          <w:color w:val="000000"/>
          <w:sz w:val="21"/>
          <w:szCs w:val="21"/>
        </w:rPr>
        <w:t xml:space="preserve">, and formally adopted by the governing body / Key Individual(s) on the date recorded below. It must be reviewed at least annually and whenever a material regulatory or business change occurs.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Name and capacity</w:t>
            </w:r>
          </w:p>
        </w:tc>
        <w:tc>
          <w:tcPr>
            <w:tcW w:type="dxa" w:w="312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Signature</w:t>
            </w:r>
          </w:p>
        </w:tc>
        <w:tc>
          <w:tcPr>
            <w:tcW w:type="dxa" w:w="312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Date</w:t>
            </w:r>
          </w:p>
        </w:tc>
      </w:tr>
      <w:tr>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[KEY INDIVIDUAL]</w:t>
            </w:r>
          </w:p>
        </w:tc>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[DIRECTOR / MEMBER]</w:t>
            </w:r>
          </w:p>
        </w:tc>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bl>
    <w:sectPr>
      <w:headerReference w:type="default" r:id="rId7"/>
      <w:footerReference w:type="default" r:id="rId8"/>
      <w:pgSz w:w="11906" w:h="16838" w:orient="portrait"/>
      <w:pgMar w:top="1100" w:right="1250" w:bottom="11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pBdr>
      <w:tabs>
        <w:tab w:val="right" w:pos="9360"/>
      </w:tabs>
    </w:pPr>
    <w:r>
      <w:rPr>
        <w:rFonts w:ascii="Arial" w:cs="Arial" w:eastAsia="Arial" w:hAnsi="Arial"/>
        <w:color w:val="595959"/>
        <w:sz w:val="15"/>
        <w:szCs w:val="15"/>
      </w:rPr>
      <w:t xml:space="preserve">© Praeto Trading CC (FSP 1457) · Template for member adoption — not legal advice</w:t>
    </w:r>
    <w:r>
      <w:rPr>
        <w:rFonts w:ascii="Arial" w:cs="Arial" w:eastAsia="Arial" w:hAnsi="Arial"/>
        <w:color w:val="595959"/>
        <w:sz w:val="15"/>
        <w:szCs w:val="15"/>
      </w:rPr>
      <w:t xml:space="preserve">	Page </w:t>
    </w:r>
    <w:r>
      <w:rPr>
        <w:rFonts w:ascii="Arial" w:cs="Arial" w:eastAsia="Arial" w:hAnsi="Arial"/>
        <w:color w:val="59595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pBdr>
      <w:tabs>
        <w:tab w:val="right" w:pos="9360"/>
      </w:tabs>
    </w:pPr>
    <w:r>
      <w:rPr>
        <w:rFonts w:ascii="Arial" w:cs="Arial" w:eastAsia="Arial" w:hAnsi="Arial"/>
        <w:b/>
        <w:bCs/>
        <w:color w:val="1F3864"/>
        <w:sz w:val="16"/>
        <w:szCs w:val="16"/>
      </w:rPr>
      <w:t xml:space="preserve">Praeto Compliance Club</w:t>
    </w:r>
    <w:r>
      <w:rPr>
        <w:rFonts w:ascii="Arial" w:cs="Arial" w:eastAsia="Arial" w:hAnsi="Arial"/>
        <w:color w:val="595959"/>
        <w:sz w:val="16"/>
        <w:szCs w:val="16"/>
      </w:rPr>
      <w:t xml:space="preserve">	National Credit 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2026-07-14T16:01:28.331Z</dcterms:created>
  <dcterms:modified xsi:type="dcterms:W3CDTF">2026-07-14T16:01:28.331Z</dcterms:modified>
</cp:coreProperties>
</file>

<file path=docProps/custom.xml><?xml version="1.0" encoding="utf-8"?>
<Properties xmlns="http://schemas.openxmlformats.org/officeDocument/2006/custom-properties" xmlns:vt="http://schemas.openxmlformats.org/officeDocument/2006/docPropsVTypes"/>
</file>