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9A84C"/>
          <w:spacing w:val="40"/>
          <w:sz w:val="20"/>
          <w:szCs w:val="20"/>
        </w:rPr>
        <w:t xml:space="preserve">PRAETO COMPLIANCE CLUB</w:t>
      </w:r>
    </w:p>
    <w:p>
      <w:pPr>
        <w:spacing w:after="60"/>
      </w:pPr>
      <w:r>
        <w:rPr>
          <w:rFonts w:ascii="Arial" w:cs="Arial" w:eastAsia="Arial" w:hAnsi="Arial"/>
          <w:b/>
          <w:bCs/>
          <w:color w:val="1F3864"/>
          <w:sz w:val="44"/>
          <w:szCs w:val="44"/>
        </w:rPr>
        <w:t xml:space="preserve">FSP Compliance Manual</w:t>
      </w:r>
    </w:p>
    <w:p>
      <w:pPr>
        <w:spacing w:after="120"/>
      </w:pPr>
      <w:r>
        <w:rPr>
          <w:rFonts w:ascii="Arial" w:cs="Arial" w:eastAsia="Arial" w:hAnsi="Arial"/>
          <w:i/>
          <w:iCs/>
          <w:color w:val="595959"/>
          <w:sz w:val="22"/>
          <w:szCs w:val="22"/>
        </w:rPr>
        <w:t xml:space="preserve">Master compliance framework for a Category I authorised financial services provider</w:t>
      </w:r>
    </w:p>
    <w:p>
      <w:pPr>
        <w:pBdr>
          <w:bottom w:val="single" w:color="C9A84C" w:sz="12"/>
        </w:pBd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val="false"/>
                <w:bCs w:val="false"/>
                <w:color w:val="FFFFFF"/>
                <w:sz w:val="18"/>
                <w:szCs w:val="18"/>
              </w:rPr>
              <w:t xml:space="preserve">FSP Compliance Manual</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Regulatory category</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FAIS Act — General Code of Conduct</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Membership tier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Foundation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Version / status</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v1.0 — Template for adoption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Adopted by (FSP)</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[FSP NAME] (FSP No. [FSP NUMBER])</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Owner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 NAME], Key Individual</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Approval date / next review</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  [DATE + 12 MONTHS]</w:t>
            </w:r>
          </w:p>
        </w:tc>
      </w:tr>
    </w:tbl>
    <w:p>
      <w:pPr>
        <w:spacing w:after="240"/>
      </w:pPr>
    </w:p>
    <w:p>
      <w:pPr>
        <w:pBdr>
          <w:bottom w:val="single" w:color="C9A84C" w:sz="6"/>
        </w:pBdr>
        <w:spacing w:after="120" w:before="220"/>
      </w:pPr>
      <w:r>
        <w:rPr>
          <w:rFonts w:ascii="Arial" w:cs="Arial" w:eastAsia="Arial" w:hAnsi="Arial"/>
          <w:b/>
          <w:bCs/>
          <w:color w:val="1F3864"/>
          <w:sz w:val="26"/>
          <w:szCs w:val="26"/>
        </w:rPr>
        <w:t xml:space="preserve">1.  Purpose</w:t>
      </w:r>
    </w:p>
    <w:p>
      <w:pPr>
        <w:spacing w:after="140" w:line="300"/>
        <w:jc w:val="both"/>
      </w:pPr>
      <w:r>
        <w:rPr>
          <w:rFonts w:ascii="Arial" w:cs="Arial" w:eastAsia="Arial" w:hAnsi="Arial"/>
          <w:b w:val="false"/>
          <w:bCs w:val="false"/>
          <w:i w:val="false"/>
          <w:iCs w:val="false"/>
          <w:color w:val="000000"/>
          <w:sz w:val="21"/>
          <w:szCs w:val="21"/>
        </w:rPr>
        <w:t xml:space="preserve">This manual is the central reference for how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meets its obligations under the Financial Advisory and Intermediary Services Act 37 of 2002 (FAIS), the General Code of Conduct (BN 80 of 2003, as amended), the Determination of Fit and Proper Requirements (BN 194 of 2017), the Financial Intelligence Centre Act 38 of 2001 (FIC Act) and related conduct legislation. It binds the FSP, its Key Individual(s), representatives and staff.</w:t>
      </w:r>
    </w:p>
    <w:p>
      <w:pPr>
        <w:pBdr>
          <w:bottom w:val="single" w:color="C9A84C" w:sz="6"/>
        </w:pBdr>
        <w:spacing w:after="120" w:before="220"/>
      </w:pPr>
      <w:r>
        <w:rPr>
          <w:rFonts w:ascii="Arial" w:cs="Arial" w:eastAsia="Arial" w:hAnsi="Arial"/>
          <w:b/>
          <w:bCs/>
          <w:color w:val="1F3864"/>
          <w:sz w:val="26"/>
          <w:szCs w:val="26"/>
        </w:rPr>
        <w:t xml:space="preserve">2.  Licence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FSP licence number</w:t>
            </w:r>
          </w:p>
        </w:tc>
        <w:tc>
          <w:tcPr>
            <w:tcW w:type="dxa" w:w="61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[FSP NUMBER]</w:t>
            </w:r>
          </w:p>
        </w:tc>
      </w:tr>
      <w:tr>
        <w:tc>
          <w:tcPr>
            <w:tcW w:type="dxa" w:w="3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Licence category</w:t>
            </w:r>
          </w:p>
        </w:tc>
        <w:tc>
          <w:tcPr>
            <w:tcW w:type="dxa" w:w="61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Category I</w:t>
            </w:r>
          </w:p>
        </w:tc>
      </w:tr>
      <w:tr>
        <w:tc>
          <w:tcPr>
            <w:tcW w:type="dxa" w:w="3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Authorised product categories</w:t>
            </w:r>
          </w:p>
        </w:tc>
        <w:tc>
          <w:tcPr>
            <w:tcW w:type="dxa" w:w="61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[LIST PRODUCT SUBCATEGORIES, e.g. Long-term Insurance A / B1 / B2, Short-term Personal Lines]</w:t>
            </w:r>
          </w:p>
        </w:tc>
      </w:tr>
      <w:tr>
        <w:tc>
          <w:tcPr>
            <w:tcW w:type="dxa" w:w="3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Individual(s)</w:t>
            </w:r>
          </w:p>
        </w:tc>
        <w:tc>
          <w:tcPr>
            <w:tcW w:type="dxa" w:w="61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[NAMES]</w:t>
            </w:r>
          </w:p>
        </w:tc>
      </w:tr>
      <w:tr>
        <w:tc>
          <w:tcPr>
            <w:tcW w:type="dxa" w:w="3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Compliance officer</w:t>
            </w:r>
          </w:p>
        </w:tc>
        <w:tc>
          <w:tcPr>
            <w:tcW w:type="dxa" w:w="61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[NAME / PRACTICE or "KI-monitored (s.17(4) exemption)"]</w:t>
            </w:r>
          </w:p>
        </w:tc>
      </w:tr>
      <w:tr>
        <w:tc>
          <w:tcPr>
            <w:tcW w:type="dxa" w:w="3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FSCA levies / returns contact</w:t>
            </w:r>
          </w:p>
        </w:tc>
        <w:tc>
          <w:tcPr>
            <w:tcW w:type="dxa" w:w="61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[NAME]</w:t>
            </w:r>
          </w:p>
        </w:tc>
      </w:tr>
    </w:tbl>
    <w:p>
      <w:pPr>
        <w:spacing w:after="120"/>
      </w:pPr>
    </w:p>
    <w:p>
      <w:pPr>
        <w:pBdr>
          <w:bottom w:val="single" w:color="C9A84C" w:sz="6"/>
        </w:pBdr>
        <w:spacing w:after="120" w:before="220"/>
      </w:pPr>
      <w:r>
        <w:rPr>
          <w:rFonts w:ascii="Arial" w:cs="Arial" w:eastAsia="Arial" w:hAnsi="Arial"/>
          <w:b/>
          <w:bCs/>
          <w:color w:val="1F3864"/>
          <w:sz w:val="26"/>
          <w:szCs w:val="26"/>
        </w:rPr>
        <w:t xml:space="preserve">3.  Governance and Responsibility Map</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Key Individual — day-to-day management and oversight of the rendering of financial services (s.8(4)); approves policies; owns the competence and representative registers.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Compliance function — monitors adherence, submits the annual compliance report, maintains the regulatory calendar.</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Representatives — render services only within mandate and subcategory authorisation; complete CPD and product training.</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All staff — complete FIC Act awareness training; report suspicious activity internally without tipping off.</w:t>
      </w:r>
    </w:p>
    <w:p>
      <w:pPr>
        <w:pBdr>
          <w:bottom w:val="single" w:color="C9A84C" w:sz="6"/>
        </w:pBdr>
        <w:spacing w:after="120" w:before="220"/>
      </w:pPr>
      <w:r>
        <w:rPr>
          <w:rFonts w:ascii="Arial" w:cs="Arial" w:eastAsia="Arial" w:hAnsi="Arial"/>
          <w:b/>
          <w:bCs/>
          <w:color w:val="1F3864"/>
          <w:sz w:val="26"/>
          <w:szCs w:val="26"/>
        </w:rPr>
        <w:t xml:space="preserve">4.  Policy Inventory</w:t>
      </w:r>
    </w:p>
    <w:p>
      <w:pPr>
        <w:spacing w:after="140" w:line="300"/>
        <w:jc w:val="both"/>
      </w:pPr>
      <w:r>
        <w:rPr>
          <w:rFonts w:ascii="Arial" w:cs="Arial" w:eastAsia="Arial" w:hAnsi="Arial"/>
          <w:b w:val="false"/>
          <w:bCs w:val="false"/>
          <w:i w:val="false"/>
          <w:iCs w:val="false"/>
          <w:color w:val="000000"/>
          <w:sz w:val="21"/>
          <w:szCs w:val="21"/>
        </w:rPr>
        <w:t xml:space="preserve">The following policies form part of this framework and are adopted as annexures. Tick and date on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Policy / register</w:t>
            </w:r>
          </w:p>
        </w:tc>
        <w:tc>
          <w:tcPr>
            <w:tcW w:type="dxa" w:w="20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Adopted (Y/N)</w:t>
            </w:r>
          </w:p>
        </w:tc>
        <w:tc>
          <w:tcPr>
            <w:tcW w:type="dxa" w:w="20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5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Conflict of Interest Management Policy (s.3A)</w:t>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5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Complaints Management Policy and Register</w:t>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5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TCF Policy and Framework</w:t>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5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Risk Management &amp; Compliance Programme (FIC Act s.42)</w:t>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5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POPIA Data Protection Policy</w:t>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5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Business Continuity Plan</w:t>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5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KI Oversight and Supervision Plan</w:t>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52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Debarment Process</w:t>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after="120"/>
      </w:pPr>
    </w:p>
    <w:p>
      <w:pPr>
        <w:pBdr>
          <w:bottom w:val="single" w:color="C9A84C" w:sz="6"/>
        </w:pBdr>
        <w:spacing w:after="120" w:before="220"/>
      </w:pPr>
      <w:r>
        <w:rPr>
          <w:rFonts w:ascii="Arial" w:cs="Arial" w:eastAsia="Arial" w:hAnsi="Arial"/>
          <w:b/>
          <w:bCs/>
          <w:color w:val="1F3864"/>
          <w:sz w:val="26"/>
          <w:szCs w:val="26"/>
        </w:rPr>
        <w:t xml:space="preserve">5.  Regulatory Calendar (Standing Obligations)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Annual financial statements — submit to the FSCA within four months of financial year-end; extension requests at least 15 days before due date.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Annual compliance report — per FSCA requirements for the FSP category.</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CPD cycle — 1 June to 31 May each year; hours evidenced in the competence register by cycle close.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FIC Act — Risk and Compliance Returns and directives as issued; TFS screening on every list update.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Levies, licence amendments (s.13 rep register changes within prescribed periods), and profile changes to be logged in the regulatory calendar with owner and due date.</w:t>
      </w:r>
    </w:p>
    <w:p>
      <w:pPr>
        <w:pBdr>
          <w:bottom w:val="single" w:color="C9A84C" w:sz="6"/>
        </w:pBdr>
        <w:spacing w:after="120" w:before="220"/>
      </w:pPr>
      <w:r>
        <w:rPr>
          <w:rFonts w:ascii="Arial" w:cs="Arial" w:eastAsia="Arial" w:hAnsi="Arial"/>
          <w:b/>
          <w:bCs/>
          <w:color w:val="1F3864"/>
          <w:sz w:val="26"/>
          <w:szCs w:val="26"/>
        </w:rPr>
        <w:t xml:space="preserve">6.  Record-Keeping</w:t>
      </w:r>
    </w:p>
    <w:p>
      <w:pPr>
        <w:spacing w:after="140" w:line="300"/>
        <w:jc w:val="both"/>
      </w:pPr>
      <w:r>
        <w:rPr>
          <w:rFonts w:ascii="Arial" w:cs="Arial" w:eastAsia="Arial" w:hAnsi="Arial"/>
          <w:b w:val="false"/>
          <w:bCs w:val="false"/>
          <w:i w:val="false"/>
          <w:iCs w:val="false"/>
          <w:color w:val="000000"/>
          <w:sz w:val="21"/>
          <w:szCs w:val="21"/>
        </w:rPr>
        <w:t xml:space="preserve">Records contemplated in s.18 of FAIS and s.22–24 of the FIC Act are kept for a minimum of five years (from termination of the product or business relationship, as applicable), in retrievable electronic form, with access controls per the POPIA policy. Storage location: </w:t>
      </w:r>
      <w:r>
        <w:rPr>
          <w:rFonts w:ascii="Arial" w:cs="Arial" w:eastAsia="Arial" w:hAnsi="Arial"/>
          <w:b/>
          <w:bCs/>
          <w:color w:val="8A6D1D"/>
          <w:sz w:val="21"/>
          <w:szCs w:val="21"/>
        </w:rPr>
        <w:t xml:space="preserve">[SYSTEM / LOCATION]</w:t>
      </w:r>
      <w:r>
        <w:rPr>
          <w:rFonts w:ascii="Arial" w:cs="Arial" w:eastAsia="Arial" w:hAnsi="Arial"/>
          <w:b w:val="false"/>
          <w:bCs w:val="false"/>
          <w:i w:val="false"/>
          <w:iCs w:val="false"/>
          <w:color w:val="000000"/>
          <w:sz w:val="21"/>
          <w:szCs w:val="21"/>
        </w:rPr>
        <w:t xml:space="preserve">.</w:t>
      </w:r>
    </w:p>
    <w:p>
      <w:pPr>
        <w:pBdr>
          <w:bottom w:val="single" w:color="C9A84C" w:sz="6"/>
        </w:pBdr>
        <w:spacing w:after="120" w:before="220"/>
      </w:pPr>
      <w:r>
        <w:rPr>
          <w:rFonts w:ascii="Arial" w:cs="Arial" w:eastAsia="Arial" w:hAnsi="Arial"/>
          <w:b/>
          <w:bCs/>
          <w:color w:val="1F3864"/>
          <w:sz w:val="26"/>
          <w:szCs w:val="26"/>
        </w:rPr>
        <w:t xml:space="preserve">7.  Breach and Incident Handling</w:t>
      </w:r>
    </w:p>
    <w:p>
      <w:pPr>
        <w:spacing w:after="140" w:line="300"/>
        <w:jc w:val="both"/>
      </w:pPr>
      <w:r>
        <w:rPr>
          <w:rFonts w:ascii="Arial" w:cs="Arial" w:eastAsia="Arial" w:hAnsi="Arial"/>
          <w:b w:val="false"/>
          <w:bCs w:val="false"/>
          <w:i w:val="false"/>
          <w:iCs w:val="false"/>
          <w:color w:val="000000"/>
          <w:sz w:val="21"/>
          <w:szCs w:val="21"/>
        </w:rPr>
        <w:t xml:space="preserve">Any suspected breach of FAIS, the General Code, or the FIC Act is reported to the Key Individual within </w:t>
      </w:r>
      <w:r>
        <w:rPr>
          <w:rFonts w:ascii="Arial" w:cs="Arial" w:eastAsia="Arial" w:hAnsi="Arial"/>
          <w:b/>
          <w:bCs/>
          <w:color w:val="8A6D1D"/>
          <w:sz w:val="21"/>
          <w:szCs w:val="21"/>
        </w:rPr>
        <w:t xml:space="preserve">[24/48]</w:t>
      </w:r>
      <w:r>
        <w:rPr>
          <w:rFonts w:ascii="Arial" w:cs="Arial" w:eastAsia="Arial" w:hAnsi="Arial"/>
          <w:b w:val="false"/>
          <w:bCs w:val="false"/>
          <w:i w:val="false"/>
          <w:iCs w:val="false"/>
          <w:color w:val="000000"/>
          <w:sz w:val="21"/>
          <w:szCs w:val="21"/>
        </w:rPr>
        <w:t xml:space="preserve"> hours, logged in the breach register, assessed for materiality, and — where required — reported to the FSCA or FIC. Remediation actions are minuted and tracked to closure.</w:t>
      </w:r>
    </w:p>
    <w:p>
      <w:pPr>
        <w:pBdr>
          <w:bottom w:val="single" w:color="C9A84C" w:sz="6"/>
        </w:pBdr>
        <w:spacing w:after="120" w:before="260"/>
      </w:pPr>
      <w:r>
        <w:rPr>
          <w:rFonts w:ascii="Arial" w:cs="Arial" w:eastAsia="Arial" w:hAnsi="Arial"/>
          <w:b/>
          <w:bCs/>
          <w:color w:val="1F3864"/>
          <w:sz w:val="26"/>
          <w:szCs w:val="26"/>
        </w:rPr>
        <w:t xml:space="preserve">8.  Adoption and Sign-Off</w:t>
      </w:r>
    </w:p>
    <w:p>
      <w:pPr>
        <w:spacing w:after="140" w:line="300"/>
        <w:jc w:val="both"/>
      </w:pPr>
      <w:r>
        <w:rPr>
          <w:rFonts w:ascii="Arial" w:cs="Arial" w:eastAsia="Arial" w:hAnsi="Arial"/>
          <w:b w:val="false"/>
          <w:bCs w:val="false"/>
          <w:i w:val="false"/>
          <w:iCs w:val="false"/>
          <w:color w:val="000000"/>
          <w:sz w:val="21"/>
          <w:szCs w:val="21"/>
        </w:rPr>
        <w:t xml:space="preserve">This document was tabled, adapted to the business of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and formally adopted by the governing body / Key Individual(s) on the date recorded below. It must be reviewed at least annually and whenever a material regulatory or business change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 and capacity</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[DIRECTOR / MEMBER]</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360"/>
      </w:tabs>
    </w:pPr>
    <w:r>
      <w:rPr>
        <w:rFonts w:ascii="Arial" w:cs="Arial" w:eastAsia="Arial" w:hAnsi="Arial"/>
        <w:color w:val="595959"/>
        <w:sz w:val="15"/>
        <w:szCs w:val="15"/>
      </w:rPr>
      <w:t xml:space="preserve">© Praeto Trading CC (FSP 1457) · Template for member adoption — not legal advice</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360"/>
      </w:tabs>
    </w:pPr>
    <w:r>
      <w:rPr>
        <w:rFonts w:ascii="Arial" w:cs="Arial" w:eastAsia="Arial" w:hAnsi="Arial"/>
        <w:b/>
        <w:bCs/>
        <w:color w:val="1F3864"/>
        <w:sz w:val="16"/>
        <w:szCs w:val="16"/>
      </w:rPr>
      <w:t xml:space="preserve">Praeto Compliance Club</w:t>
    </w:r>
    <w:r>
      <w:rPr>
        <w:rFonts w:ascii="Arial" w:cs="Arial" w:eastAsia="Arial" w:hAnsi="Arial"/>
        <w:color w:val="595959"/>
        <w:sz w:val="16"/>
        <w:szCs w:val="16"/>
      </w:rPr>
      <w:t xml:space="preserve">	FAIS Act — General Code of Conduct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2026-07-14T15:59:02.444Z</dcterms:created>
  <dcterms:modified xsi:type="dcterms:W3CDTF">2026-07-14T15:59:02.444Z</dcterms:modified>
</cp:coreProperties>
</file>

<file path=docProps/custom.xml><?xml version="1.0" encoding="utf-8"?>
<Properties xmlns="http://schemas.openxmlformats.org/officeDocument/2006/custom-properties" xmlns:vt="http://schemas.openxmlformats.org/officeDocument/2006/docPropsVTypes"/>
</file>