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9A84C"/>
          <w:spacing w:val="40"/>
          <w:sz w:val="20"/>
          <w:szCs w:val="20"/>
        </w:rPr>
        <w:t xml:space="preserve">PRAETO COMPLIANCE CLUB</w:t>
      </w:r>
    </w:p>
    <w:p>
      <w:pPr>
        <w:spacing w:after="60"/>
      </w:pPr>
      <w:r>
        <w:rPr>
          <w:rFonts w:ascii="Arial" w:cs="Arial" w:eastAsia="Arial" w:hAnsi="Arial"/>
          <w:b/>
          <w:bCs/>
          <w:color w:val="1F3864"/>
          <w:sz w:val="44"/>
          <w:szCs w:val="44"/>
        </w:rPr>
        <w:t xml:space="preserve">Risk Management and Compliance Programme (RMCP)</w:t>
      </w:r>
    </w:p>
    <w:p>
      <w:pPr>
        <w:spacing w:after="120"/>
      </w:pPr>
      <w:r>
        <w:rPr>
          <w:rFonts w:ascii="Arial" w:cs="Arial" w:eastAsia="Arial" w:hAnsi="Arial"/>
          <w:i/>
          <w:iCs/>
          <w:color w:val="595959"/>
          <w:sz w:val="22"/>
          <w:szCs w:val="22"/>
        </w:rPr>
        <w:t xml:space="preserve">Section 42 of the FIC Act — the central AML/CFT/CPF document of the accountable institution</w:t>
      </w:r>
    </w:p>
    <w:p>
      <w:pPr>
        <w:pBdr>
          <w:bottom w:val="single" w:color="C9A84C" w:sz="12"/>
        </w:pBd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val="false"/>
                <w:bCs w:val="false"/>
                <w:color w:val="FFFFFF"/>
                <w:sz w:val="18"/>
                <w:szCs w:val="18"/>
              </w:rPr>
              <w:t xml:space="preserve">Risk Management and Compliance Programme (RMCP)</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Regulatory category</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FIC Act — AML/CFT/CPF</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Membership tier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Foundation</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Version / status</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v1.0 — Template for adoption</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Adopted by (FSP)</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[FSP NAME] (FSP No. [FSP NUMBER])</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Owner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 NAME], Key Individual</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Approval date / next review</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  /  [DATE + 12 MONTHS]</w:t>
            </w:r>
          </w:p>
        </w:tc>
      </w:tr>
    </w:tbl>
    <w:p>
      <w:pPr>
        <w:spacing w:after="240"/>
      </w:pPr>
    </w:p>
    <w:p>
      <w:pPr>
        <w:pBdr>
          <w:bottom w:val="single" w:color="C9A84C" w:sz="6"/>
        </w:pBdr>
        <w:spacing w:after="120" w:before="220"/>
      </w:pPr>
      <w:r>
        <w:rPr>
          <w:rFonts w:ascii="Arial" w:cs="Arial" w:eastAsia="Arial" w:hAnsi="Arial"/>
          <w:b/>
          <w:bCs/>
          <w:color w:val="1F3864"/>
          <w:sz w:val="26"/>
          <w:szCs w:val="26"/>
        </w:rPr>
        <w:t xml:space="preserve">1.  Purpose and Approval</w:t>
      </w:r>
    </w:p>
    <w:p>
      <w:pPr>
        <w:spacing w:after="140" w:line="300"/>
        <w:jc w:val="both"/>
      </w:pPr>
      <w:r>
        <w:rPr>
          <w:rFonts w:ascii="Arial" w:cs="Arial" w:eastAsia="Arial" w:hAnsi="Arial"/>
          <w:b w:val="false"/>
          <w:bCs w:val="false"/>
          <w:i w:val="false"/>
          <w:iCs w:val="false"/>
          <w:color w:val="000000"/>
          <w:sz w:val="21"/>
          <w:szCs w:val="21"/>
        </w:rPr>
        <w:t xml:space="preserve">This RMCP records how </w:t>
      </w:r>
      <w:r>
        <w:rPr>
          <w:rFonts w:ascii="Arial" w:cs="Arial" w:eastAsia="Arial" w:hAnsi="Arial"/>
          <w:b/>
          <w:bCs/>
          <w:color w:val="8A6D1D"/>
          <w:sz w:val="21"/>
          <w:szCs w:val="21"/>
        </w:rPr>
        <w:t xml:space="preserve">[FSP NAME]</w:t>
      </w:r>
      <w:r>
        <w:rPr>
          <w:rFonts w:ascii="Arial" w:cs="Arial" w:eastAsia="Arial" w:hAnsi="Arial"/>
          <w:b w:val="false"/>
          <w:bCs w:val="false"/>
          <w:i w:val="false"/>
          <w:iCs w:val="false"/>
          <w:color w:val="000000"/>
          <w:sz w:val="21"/>
          <w:szCs w:val="21"/>
        </w:rPr>
        <w:t xml:space="preserve">, as an accountable institution under Schedule 1 of the FIC Act, identifies, assesses, monitors, mitigates and manages money laundering (ML), terrorist financing (TF) and proliferation financing (PF) risk. It is approved by the board / senior management, reviewed at least annually, and made available to the FIC and supervisory body on request. Every employee must be able to access it.</w:t>
      </w:r>
    </w:p>
    <w:p>
      <w:pPr>
        <w:pBdr>
          <w:bottom w:val="single" w:color="C9A84C" w:sz="6"/>
        </w:pBdr>
        <w:spacing w:after="120" w:before="220"/>
      </w:pPr>
      <w:r>
        <w:rPr>
          <w:rFonts w:ascii="Arial" w:cs="Arial" w:eastAsia="Arial" w:hAnsi="Arial"/>
          <w:b/>
          <w:bCs/>
          <w:color w:val="1F3864"/>
          <w:sz w:val="26"/>
          <w:szCs w:val="26"/>
        </w:rPr>
        <w:t xml:space="preserve">2.  Business Risk Assessment</w:t>
      </w:r>
    </w:p>
    <w:p>
      <w:pPr>
        <w:spacing w:after="140" w:line="300"/>
        <w:jc w:val="both"/>
      </w:pPr>
      <w:r>
        <w:rPr>
          <w:rFonts w:ascii="Arial" w:cs="Arial" w:eastAsia="Arial" w:hAnsi="Arial"/>
          <w:b w:val="false"/>
          <w:bCs w:val="false"/>
          <w:i w:val="false"/>
          <w:iCs w:val="false"/>
          <w:color w:val="000000"/>
          <w:sz w:val="21"/>
          <w:szCs w:val="21"/>
        </w:rPr>
        <w:t xml:space="preserve">A documented business-level risk assessment (Annexure A) considers products and services, client types, delivery channels, geographic exposure and transaction patterns, and rates inherent and residual risk. It was last performed on </w:t>
      </w:r>
      <w:r>
        <w:rPr>
          <w:rFonts w:ascii="Arial" w:cs="Arial" w:eastAsia="Arial" w:hAnsi="Arial"/>
          <w:b/>
          <w:bCs/>
          <w:color w:val="8A6D1D"/>
          <w:sz w:val="21"/>
          <w:szCs w:val="21"/>
        </w:rPr>
        <w:t xml:space="preserve">[DATE]</w:t>
      </w:r>
      <w:r>
        <w:rPr>
          <w:rFonts w:ascii="Arial" w:cs="Arial" w:eastAsia="Arial" w:hAnsi="Arial"/>
          <w:b w:val="false"/>
          <w:bCs w:val="false"/>
          <w:i w:val="false"/>
          <w:iCs w:val="false"/>
          <w:color w:val="000000"/>
          <w:sz w:val="21"/>
          <w:szCs w:val="21"/>
        </w:rPr>
        <w:t xml:space="preserve"> and is refreshed </w:t>
      </w:r>
      <w:r>
        <w:rPr>
          <w:rFonts w:ascii="Arial" w:cs="Arial" w:eastAsia="Arial" w:hAnsi="Arial"/>
          <w:b/>
          <w:bCs/>
          <w:color w:val="8A6D1D"/>
          <w:sz w:val="21"/>
          <w:szCs w:val="21"/>
        </w:rPr>
        <w:t xml:space="preserve">[annually]</w:t>
      </w:r>
      <w:r>
        <w:rPr>
          <w:rFonts w:ascii="Arial" w:cs="Arial" w:eastAsia="Arial" w:hAnsi="Arial"/>
          <w:b w:val="false"/>
          <w:bCs w:val="false"/>
          <w:i w:val="false"/>
          <w:iCs w:val="false"/>
          <w:color w:val="000000"/>
          <w:sz w:val="21"/>
          <w:szCs w:val="21"/>
        </w:rPr>
        <w:t xml:space="preserve"> or on material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Risk factor</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Inherent rating</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controls</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Products: [e.g. funeral policies, risk cover]</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[L/M/H]</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Clients: [individuals / juristic / trusts / PEPs]</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[L/M/H]</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Channels: [face-to-face / remote onboarding]</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[L/M/H]</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Geography: [domestic / cross-border]</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[L/M/H]</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bl>
    <w:p>
      <w:pPr>
        <w:spacing w:after="120"/>
      </w:pPr>
    </w:p>
    <w:p>
      <w:pPr>
        <w:pBdr>
          <w:bottom w:val="single" w:color="C9A84C" w:sz="6"/>
        </w:pBdr>
        <w:spacing w:after="120" w:before="220"/>
      </w:pPr>
      <w:r>
        <w:rPr>
          <w:rFonts w:ascii="Arial" w:cs="Arial" w:eastAsia="Arial" w:hAnsi="Arial"/>
          <w:b/>
          <w:bCs/>
          <w:color w:val="1F3864"/>
          <w:sz w:val="26"/>
          <w:szCs w:val="26"/>
        </w:rPr>
        <w:t xml:space="preserve">3.  Client Risk Rating</w:t>
      </w:r>
    </w:p>
    <w:p>
      <w:pPr>
        <w:spacing w:after="140" w:line="300"/>
        <w:jc w:val="both"/>
      </w:pPr>
      <w:r>
        <w:rPr>
          <w:rFonts w:ascii="Arial" w:cs="Arial" w:eastAsia="Arial" w:hAnsi="Arial"/>
          <w:b w:val="false"/>
          <w:bCs w:val="false"/>
          <w:i w:val="false"/>
          <w:iCs w:val="false"/>
          <w:color w:val="000000"/>
          <w:sz w:val="21"/>
          <w:szCs w:val="21"/>
        </w:rPr>
        <w:t xml:space="preserve">Every client is risk-rated at onboarding (low / medium / high) using the matrix in the CDD Procedure, considering client type, source of funds, product, channel, adverse media and PEP status. Rating drives the level of due diligence and the frequency of review: low </w:t>
      </w:r>
      <w:r>
        <w:rPr>
          <w:rFonts w:ascii="Arial" w:cs="Arial" w:eastAsia="Arial" w:hAnsi="Arial"/>
          <w:b/>
          <w:bCs/>
          <w:color w:val="8A6D1D"/>
          <w:sz w:val="21"/>
          <w:szCs w:val="21"/>
        </w:rPr>
        <w:t xml:space="preserve">[36]</w:t>
      </w:r>
      <w:r>
        <w:rPr>
          <w:rFonts w:ascii="Arial" w:cs="Arial" w:eastAsia="Arial" w:hAnsi="Arial"/>
          <w:b w:val="false"/>
          <w:bCs w:val="false"/>
          <w:i w:val="false"/>
          <w:iCs w:val="false"/>
          <w:color w:val="000000"/>
          <w:sz w:val="21"/>
          <w:szCs w:val="21"/>
        </w:rPr>
        <w:t xml:space="preserve"> months, medium </w:t>
      </w:r>
      <w:r>
        <w:rPr>
          <w:rFonts w:ascii="Arial" w:cs="Arial" w:eastAsia="Arial" w:hAnsi="Arial"/>
          <w:b/>
          <w:bCs/>
          <w:color w:val="8A6D1D"/>
          <w:sz w:val="21"/>
          <w:szCs w:val="21"/>
        </w:rPr>
        <w:t xml:space="preserve">[24]</w:t>
      </w:r>
      <w:r>
        <w:rPr>
          <w:rFonts w:ascii="Arial" w:cs="Arial" w:eastAsia="Arial" w:hAnsi="Arial"/>
          <w:b w:val="false"/>
          <w:bCs w:val="false"/>
          <w:i w:val="false"/>
          <w:iCs w:val="false"/>
          <w:color w:val="000000"/>
          <w:sz w:val="21"/>
          <w:szCs w:val="21"/>
        </w:rPr>
        <w:t xml:space="preserve"> months, high </w:t>
      </w:r>
      <w:r>
        <w:rPr>
          <w:rFonts w:ascii="Arial" w:cs="Arial" w:eastAsia="Arial" w:hAnsi="Arial"/>
          <w:b/>
          <w:bCs/>
          <w:color w:val="8A6D1D"/>
          <w:sz w:val="21"/>
          <w:szCs w:val="21"/>
        </w:rPr>
        <w:t xml:space="preserve">[12]</w:t>
      </w:r>
      <w:r>
        <w:rPr>
          <w:rFonts w:ascii="Arial" w:cs="Arial" w:eastAsia="Arial" w:hAnsi="Arial"/>
          <w:b w:val="false"/>
          <w:bCs w:val="false"/>
          <w:i w:val="false"/>
          <w:iCs w:val="false"/>
          <w:color w:val="000000"/>
          <w:sz w:val="21"/>
          <w:szCs w:val="21"/>
        </w:rPr>
        <w:t xml:space="preserve"> months.</w:t>
      </w:r>
    </w:p>
    <w:p>
      <w:pPr>
        <w:pBdr>
          <w:bottom w:val="single" w:color="C9A84C" w:sz="6"/>
        </w:pBdr>
        <w:spacing w:after="120" w:before="220"/>
      </w:pPr>
      <w:r>
        <w:rPr>
          <w:rFonts w:ascii="Arial" w:cs="Arial" w:eastAsia="Arial" w:hAnsi="Arial"/>
          <w:b/>
          <w:bCs/>
          <w:color w:val="1F3864"/>
          <w:sz w:val="26"/>
          <w:szCs w:val="26"/>
        </w:rPr>
        <w:t xml:space="preserve">4.  Customer Due Diligence Framework</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No anonymous clients; establish and verify identity per the CDD Procedure before establishing a business relationship or concluding a single transaction.</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For juristic persons, trusts and partnerships: identify beneficial owners (natural persons owning/controlling, applying the s.21B cascade) and verify per the procedure.</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Enhanced due diligence for high-risk clients, foreign and domestic prominent persons (PEPs/PIPs) and their family/close associates — senior management approval to onboard or retain.</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Simplified measures may apply only to proven low-risk scenarios documented here: </w:t>
      </w:r>
      <w:r>
        <w:rPr>
          <w:rFonts w:ascii="Arial" w:cs="Arial" w:eastAsia="Arial" w:hAnsi="Arial"/>
          <w:b/>
          <w:bCs/>
          <w:color w:val="8A6D1D"/>
          <w:sz w:val="21"/>
          <w:szCs w:val="21"/>
        </w:rPr>
        <w:t xml:space="preserve">[LIST OR "NONE"]</w:t>
      </w:r>
      <w:r>
        <w:rPr>
          <w:rFonts w:ascii="Arial" w:cs="Arial" w:eastAsia="Arial" w:hAnsi="Arial"/>
          <w:b w:val="false"/>
          <w:bCs w:val="false"/>
          <w:i w:val="false"/>
          <w:iCs w:val="false"/>
          <w:color w:val="000000"/>
          <w:sz w:val="21"/>
          <w:szCs w:val="21"/>
        </w:rPr>
        <w:t xml:space="preserve">.</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Ongoing due diligence: keep information current; scrutinise transactions against the expected profile.</w:t>
      </w:r>
    </w:p>
    <w:p>
      <w:pPr>
        <w:pBdr>
          <w:bottom w:val="single" w:color="C9A84C" w:sz="6"/>
        </w:pBdr>
        <w:spacing w:after="120" w:before="220"/>
      </w:pPr>
      <w:r>
        <w:rPr>
          <w:rFonts w:ascii="Arial" w:cs="Arial" w:eastAsia="Arial" w:hAnsi="Arial"/>
          <w:b/>
          <w:bCs/>
          <w:color w:val="1F3864"/>
          <w:sz w:val="26"/>
          <w:szCs w:val="26"/>
        </w:rPr>
        <w:t xml:space="preserve">5.  Screening — Targeted Financial Sanctions</w:t>
      </w:r>
    </w:p>
    <w:p>
      <w:pPr>
        <w:spacing w:after="140" w:line="300"/>
        <w:jc w:val="both"/>
      </w:pPr>
      <w:r>
        <w:rPr>
          <w:rFonts w:ascii="Arial" w:cs="Arial" w:eastAsia="Arial" w:hAnsi="Arial"/>
          <w:b w:val="false"/>
          <w:bCs w:val="false"/>
          <w:i w:val="false"/>
          <w:iCs w:val="false"/>
          <w:color w:val="000000"/>
          <w:sz w:val="21"/>
          <w:szCs w:val="21"/>
        </w:rPr>
        <w:t xml:space="preserve">All clients and beneficial owners are screened against the FIC’s TFS list at onboarding and on every list update (the full client base is re-screened). A confirmed match triggers immediate freezing of property, cessation of services, a s.28A report to the FIC, and no tipping off. Screening tool/process: </w:t>
      </w:r>
      <w:r>
        <w:rPr>
          <w:rFonts w:ascii="Arial" w:cs="Arial" w:eastAsia="Arial" w:hAnsi="Arial"/>
          <w:b/>
          <w:bCs/>
          <w:color w:val="8A6D1D"/>
          <w:sz w:val="21"/>
          <w:szCs w:val="21"/>
        </w:rPr>
        <w:t xml:space="preserve">[DESCRIBE]</w:t>
      </w:r>
      <w:r>
        <w:rPr>
          <w:rFonts w:ascii="Arial" w:cs="Arial" w:eastAsia="Arial" w:hAnsi="Arial"/>
          <w:b w:val="false"/>
          <w:bCs w:val="false"/>
          <w:i w:val="false"/>
          <w:iCs w:val="false"/>
          <w:color w:val="000000"/>
          <w:sz w:val="21"/>
          <w:szCs w:val="21"/>
        </w:rPr>
        <w:t xml:space="preserve">.</w:t>
      </w:r>
    </w:p>
    <w:p>
      <w:pPr>
        <w:pBdr>
          <w:bottom w:val="single" w:color="C9A84C" w:sz="6"/>
        </w:pBdr>
        <w:spacing w:after="120" w:before="220"/>
      </w:pPr>
      <w:r>
        <w:rPr>
          <w:rFonts w:ascii="Arial" w:cs="Arial" w:eastAsia="Arial" w:hAnsi="Arial"/>
          <w:b/>
          <w:bCs/>
          <w:color w:val="1F3864"/>
          <w:sz w:val="26"/>
          <w:szCs w:val="26"/>
        </w:rPr>
        <w:t xml:space="preserve">6.  Reporting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Report</w:t>
            </w:r>
          </w:p>
        </w:tc>
        <w:tc>
          <w:tcPr>
            <w:tcW w:type="dxa" w:w="3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Deadline</w:t>
            </w:r>
          </w:p>
        </w:tc>
      </w:tr>
      <w:tr>
        <w:tc>
          <w:tcPr>
            <w:tcW w:type="dxa" w:w="26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s.29 STR/SAR</w:t>
            </w:r>
          </w:p>
        </w:tc>
        <w:tc>
          <w:tcPr>
            <w:tcW w:type="dxa" w:w="34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Suspicion or knowledge of proceeds of crime, ML/TF/PF, or sanctions evasion</w:t>
            </w:r>
          </w:p>
        </w:tc>
        <w:tc>
          <w:tcPr>
            <w:tcW w:type="dxa" w:w="33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As soon as possible, no later than 15 days after suspicion arises</w:t>
            </w:r>
          </w:p>
        </w:tc>
      </w:tr>
      <w:tr>
        <w:tc>
          <w:tcPr>
            <w:tcW w:type="dxa" w:w="26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s.28 CTR</w:t>
            </w:r>
          </w:p>
        </w:tc>
        <w:tc>
          <w:tcPr>
            <w:tcW w:type="dxa" w:w="34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Cash transaction of R49 999.99 + (aggregation applies)</w:t>
            </w:r>
          </w:p>
        </w:tc>
        <w:tc>
          <w:tcPr>
            <w:tcW w:type="dxa" w:w="33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Within 3 days</w:t>
            </w:r>
          </w:p>
        </w:tc>
      </w:tr>
      <w:tr>
        <w:tc>
          <w:tcPr>
            <w:tcW w:type="dxa" w:w="26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s.28A TPR</w:t>
            </w:r>
          </w:p>
        </w:tc>
        <w:tc>
          <w:tcPr>
            <w:tcW w:type="dxa" w:w="340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Property linked to a TFS-listed person</w:t>
            </w:r>
          </w:p>
        </w:tc>
        <w:tc>
          <w:tcPr>
            <w:tcW w:type="dxa" w:w="33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Immediately / within prescribed period</w:t>
            </w:r>
          </w:p>
        </w:tc>
      </w:tr>
    </w:tbl>
    <w:p>
      <w:pPr>
        <w:spacing w:after="120"/>
      </w:pPr>
    </w:p>
    <w:p>
      <w:pPr>
        <w:spacing w:after="140" w:line="300"/>
        <w:jc w:val="both"/>
      </w:pPr>
      <w:r>
        <w:rPr>
          <w:rFonts w:ascii="Arial" w:cs="Arial" w:eastAsia="Arial" w:hAnsi="Arial"/>
          <w:b w:val="false"/>
          <w:bCs w:val="false"/>
          <w:i/>
          <w:iCs/>
          <w:color w:val="595959"/>
          <w:sz w:val="19"/>
          <w:szCs w:val="19"/>
        </w:rPr>
        <w:t xml:space="preserve">All reports are filed on goAML by the appointed reporter(s): </w:t>
      </w:r>
      <w:r>
        <w:rPr>
          <w:rFonts w:ascii="Arial" w:cs="Arial" w:eastAsia="Arial" w:hAnsi="Arial"/>
          <w:b/>
          <w:bCs/>
          <w:color w:val="8A6D1D"/>
          <w:sz w:val="19"/>
          <w:szCs w:val="19"/>
        </w:rPr>
        <w:t xml:space="preserve">[NAMES]</w:t>
      </w:r>
      <w:r>
        <w:rPr>
          <w:rFonts w:ascii="Arial" w:cs="Arial" w:eastAsia="Arial" w:hAnsi="Arial"/>
          <w:b w:val="false"/>
          <w:bCs w:val="false"/>
          <w:i/>
          <w:iCs/>
          <w:color w:val="595959"/>
          <w:sz w:val="19"/>
          <w:szCs w:val="19"/>
        </w:rPr>
        <w:t xml:space="preserve">. Internal escalation is via the MLRO/compliance function; tipping off is a criminal offence.</w:t>
      </w:r>
    </w:p>
    <w:p>
      <w:pPr>
        <w:pBdr>
          <w:bottom w:val="single" w:color="C9A84C" w:sz="6"/>
        </w:pBdr>
        <w:spacing w:after="120" w:before="220"/>
      </w:pPr>
      <w:r>
        <w:rPr>
          <w:rFonts w:ascii="Arial" w:cs="Arial" w:eastAsia="Arial" w:hAnsi="Arial"/>
          <w:b/>
          <w:bCs/>
          <w:color w:val="1F3864"/>
          <w:sz w:val="26"/>
          <w:szCs w:val="26"/>
        </w:rPr>
        <w:t xml:space="preserve">7.  Record-Keeping</w:t>
      </w:r>
    </w:p>
    <w:p>
      <w:pPr>
        <w:spacing w:after="140" w:line="300"/>
        <w:jc w:val="both"/>
      </w:pPr>
      <w:r>
        <w:rPr>
          <w:rFonts w:ascii="Arial" w:cs="Arial" w:eastAsia="Arial" w:hAnsi="Arial"/>
          <w:b w:val="false"/>
          <w:bCs w:val="false"/>
          <w:i w:val="false"/>
          <w:iCs w:val="false"/>
          <w:color w:val="000000"/>
          <w:sz w:val="21"/>
          <w:szCs w:val="21"/>
        </w:rPr>
        <w:t xml:space="preserve">CDD and transaction records are kept for at least five years from termination of the business relationship or conclusion of the transaction, retrievable and legible, at </w:t>
      </w:r>
      <w:r>
        <w:rPr>
          <w:rFonts w:ascii="Arial" w:cs="Arial" w:eastAsia="Arial" w:hAnsi="Arial"/>
          <w:b/>
          <w:bCs/>
          <w:color w:val="8A6D1D"/>
          <w:sz w:val="21"/>
          <w:szCs w:val="21"/>
        </w:rPr>
        <w:t xml:space="preserve">[SYSTEM/LOCATION]</w:t>
      </w:r>
      <w:r>
        <w:rPr>
          <w:rFonts w:ascii="Arial" w:cs="Arial" w:eastAsia="Arial" w:hAnsi="Arial"/>
          <w:b w:val="false"/>
          <w:bCs w:val="false"/>
          <w:i w:val="false"/>
          <w:iCs w:val="false"/>
          <w:color w:val="000000"/>
          <w:sz w:val="21"/>
          <w:szCs w:val="21"/>
        </w:rPr>
        <w:t xml:space="preserve">. Third-party record-keepers, if any, are notified to the FIC.</w:t>
      </w:r>
    </w:p>
    <w:p>
      <w:pPr>
        <w:pBdr>
          <w:bottom w:val="single" w:color="C9A84C" w:sz="6"/>
        </w:pBdr>
        <w:spacing w:after="120" w:before="220"/>
      </w:pPr>
      <w:r>
        <w:rPr>
          <w:rFonts w:ascii="Arial" w:cs="Arial" w:eastAsia="Arial" w:hAnsi="Arial"/>
          <w:b/>
          <w:bCs/>
          <w:color w:val="1F3864"/>
          <w:sz w:val="26"/>
          <w:szCs w:val="26"/>
        </w:rPr>
        <w:t xml:space="preserve">8.  Training and Governance</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All staff receive FIC Act training at induction and refresher training at least </w:t>
      </w:r>
      <w:r>
        <w:rPr>
          <w:rFonts w:ascii="Arial" w:cs="Arial" w:eastAsia="Arial" w:hAnsi="Arial"/>
          <w:b/>
          <w:bCs/>
          <w:color w:val="8A6D1D"/>
          <w:sz w:val="21"/>
          <w:szCs w:val="21"/>
        </w:rPr>
        <w:t xml:space="preserve">[annually]</w:t>
      </w:r>
      <w:r>
        <w:rPr>
          <w:rFonts w:ascii="Arial" w:cs="Arial" w:eastAsia="Arial" w:hAnsi="Arial"/>
          <w:b w:val="false"/>
          <w:bCs w:val="false"/>
          <w:i w:val="false"/>
          <w:iCs w:val="false"/>
          <w:color w:val="000000"/>
          <w:sz w:val="21"/>
          <w:szCs w:val="21"/>
        </w:rPr>
        <w:t xml:space="preserve">; attendance is logged in the FIC Training Register.</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The compliance function monitors adherence, tests controls, and reports to senior management </w:t>
      </w:r>
      <w:r>
        <w:rPr>
          <w:rFonts w:ascii="Arial" w:cs="Arial" w:eastAsia="Arial" w:hAnsi="Arial"/>
          <w:b/>
          <w:bCs/>
          <w:color w:val="8A6D1D"/>
          <w:sz w:val="21"/>
          <w:szCs w:val="21"/>
        </w:rPr>
        <w:t xml:space="preserve">[quarterly]</w:t>
      </w:r>
      <w:r>
        <w:rPr>
          <w:rFonts w:ascii="Arial" w:cs="Arial" w:eastAsia="Arial" w:hAnsi="Arial"/>
          <w:b w:val="false"/>
          <w:bCs w:val="false"/>
          <w:i w:val="false"/>
          <w:iCs w:val="false"/>
          <w:color w:val="000000"/>
          <w:sz w:val="21"/>
          <w:szCs w:val="21"/>
        </w:rPr>
        <w:t xml:space="preserve">.</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Directive-driven obligations (e.g. Risk and Compliance Returns) are diarised in the regulatory calendar with named owners.</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Board/senior management retains ultimate responsibility for FIC Act compliance (s.42A).</w:t>
      </w:r>
    </w:p>
    <w:p>
      <w:pPr>
        <w:pBdr>
          <w:bottom w:val="single" w:color="C9A84C" w:sz="6"/>
        </w:pBdr>
        <w:spacing w:after="120" w:before="260"/>
      </w:pPr>
      <w:r>
        <w:rPr>
          <w:rFonts w:ascii="Arial" w:cs="Arial" w:eastAsia="Arial" w:hAnsi="Arial"/>
          <w:b/>
          <w:bCs/>
          <w:color w:val="1F3864"/>
          <w:sz w:val="26"/>
          <w:szCs w:val="26"/>
        </w:rPr>
        <w:t xml:space="preserve">9.  Adoption and Sign-Off</w:t>
      </w:r>
    </w:p>
    <w:p>
      <w:pPr>
        <w:spacing w:after="140" w:line="300"/>
        <w:jc w:val="both"/>
      </w:pPr>
      <w:r>
        <w:rPr>
          <w:rFonts w:ascii="Arial" w:cs="Arial" w:eastAsia="Arial" w:hAnsi="Arial"/>
          <w:b w:val="false"/>
          <w:bCs w:val="false"/>
          <w:i w:val="false"/>
          <w:iCs w:val="false"/>
          <w:color w:val="000000"/>
          <w:sz w:val="21"/>
          <w:szCs w:val="21"/>
        </w:rPr>
        <w:t xml:space="preserve">This document was tabled, adapted to the business of </w:t>
      </w:r>
      <w:r>
        <w:rPr>
          <w:rFonts w:ascii="Arial" w:cs="Arial" w:eastAsia="Arial" w:hAnsi="Arial"/>
          <w:b/>
          <w:bCs/>
          <w:color w:val="8A6D1D"/>
          <w:sz w:val="21"/>
          <w:szCs w:val="21"/>
        </w:rPr>
        <w:t xml:space="preserve">[FSP NAME]</w:t>
      </w:r>
      <w:r>
        <w:rPr>
          <w:rFonts w:ascii="Arial" w:cs="Arial" w:eastAsia="Arial" w:hAnsi="Arial"/>
          <w:b w:val="false"/>
          <w:bCs w:val="false"/>
          <w:i w:val="false"/>
          <w:iCs w:val="false"/>
          <w:color w:val="000000"/>
          <w:sz w:val="21"/>
          <w:szCs w:val="21"/>
        </w:rPr>
        <w:t xml:space="preserve">, and formally adopted by the governing body / Key Individual(s) on the date recorded below. It must be reviewed at least annually and whenever a material regulatory or business change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 and capacity</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[DIRECTOR / MEMBER]</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sectPr>
      <w:headerReference w:type="default" r:id="rId7"/>
      <w:footerReference w:type="default" r:id="rId8"/>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360"/>
      </w:tabs>
    </w:pPr>
    <w:r>
      <w:rPr>
        <w:rFonts w:ascii="Arial" w:cs="Arial" w:eastAsia="Arial" w:hAnsi="Arial"/>
        <w:color w:val="595959"/>
        <w:sz w:val="15"/>
        <w:szCs w:val="15"/>
      </w:rPr>
      <w:t xml:space="preserve">© Praeto Trading CC (FSP 1457) · Template for member adoption — not legal advice</w:t>
    </w:r>
    <w:r>
      <w:rPr>
        <w:rFonts w:ascii="Arial" w:cs="Arial" w:eastAsia="Arial" w:hAnsi="Arial"/>
        <w:color w:val="595959"/>
        <w:sz w:val="15"/>
        <w:szCs w:val="15"/>
      </w:rPr>
      <w:t xml:space="preserve">	Page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tabs>
        <w:tab w:val="right" w:pos="9360"/>
      </w:tabs>
    </w:pPr>
    <w:r>
      <w:rPr>
        <w:rFonts w:ascii="Arial" w:cs="Arial" w:eastAsia="Arial" w:hAnsi="Arial"/>
        <w:b/>
        <w:bCs/>
        <w:color w:val="1F3864"/>
        <w:sz w:val="16"/>
        <w:szCs w:val="16"/>
      </w:rPr>
      <w:t xml:space="preserve">Praeto Compliance Club</w:t>
    </w:r>
    <w:r>
      <w:rPr>
        <w:rFonts w:ascii="Arial" w:cs="Arial" w:eastAsia="Arial" w:hAnsi="Arial"/>
        <w:color w:val="595959"/>
        <w:sz w:val="16"/>
        <w:szCs w:val="16"/>
      </w:rPr>
      <w:t xml:space="preserve">	FIC Act — AML/CFT/CPF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2026-07-14T16:01:27.969Z</dcterms:created>
  <dcterms:modified xsi:type="dcterms:W3CDTF">2026-07-14T16:01:27.969Z</dcterms:modified>
</cp:coreProperties>
</file>

<file path=docProps/custom.xml><?xml version="1.0" encoding="utf-8"?>
<Properties xmlns="http://schemas.openxmlformats.org/officeDocument/2006/custom-properties" xmlns:vt="http://schemas.openxmlformats.org/officeDocument/2006/docPropsVTypes"/>
</file>