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C9A84C"/>
          <w:spacing w:val="40"/>
          <w:sz w:val="20"/>
          <w:szCs w:val="20"/>
        </w:rPr>
        <w:t xml:space="preserve">PRAETO COMPLIANCE CLUB</w:t>
      </w:r>
    </w:p>
    <w:p>
      <w:pPr>
        <w:spacing w:after="60"/>
      </w:pPr>
      <w:r>
        <w:rPr>
          <w:rFonts w:ascii="Arial" w:cs="Arial" w:eastAsia="Arial" w:hAnsi="Arial"/>
          <w:b/>
          <w:bCs/>
          <w:color w:val="1F3864"/>
          <w:sz w:val="44"/>
          <w:szCs w:val="44"/>
        </w:rPr>
        <w:t xml:space="preserve">Replacement Advice and Disclosure Pack</w:t>
      </w:r>
    </w:p>
    <w:p>
      <w:pPr>
        <w:spacing w:after="120"/>
      </w:pPr>
      <w:r>
        <w:rPr>
          <w:rFonts w:ascii="Arial" w:cs="Arial" w:eastAsia="Arial" w:hAnsi="Arial"/>
          <w:i/>
          <w:iCs/>
          <w:color w:val="595959"/>
          <w:sz w:val="22"/>
          <w:szCs w:val="22"/>
        </w:rPr>
        <w:t xml:space="preserve">Section 8 of the General Code read with the Policyholder Protection Rules — long-term policy replacements</w:t>
      </w:r>
    </w:p>
    <w:p>
      <w:pPr>
        <w:pBdr>
          <w:bottom w:val="single" w:color="C9A84C" w:sz="12"/>
        </w:pBdr>
        <w:spacing w:after="2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val="false"/>
                <w:bCs w:val="false"/>
                <w:color w:val="FFFFFF"/>
                <w:sz w:val="18"/>
                <w:szCs w:val="18"/>
              </w:rPr>
              <w:t xml:space="preserve">Replacement Advice and Disclosure Pack</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Regulatory category</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Insurance Conduct — PPR / General Code</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Membership tier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Elite</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Version / status</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v1.0 — Template for adoption</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Adopted by (FSP)</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[FSP NAME] (FSP No. [FSP NUMBER])</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Owner</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 NAME], Key Individual</w:t>
            </w:r>
          </w:p>
        </w:tc>
      </w:tr>
      <w:tr>
        <w:tc>
          <w:tcPr>
            <w:tcW w:type="dxa" w:w="2600"/>
            <w:tcBorders>
              <w:top w:val="single" w:color="1F3864" w:sz="4"/>
              <w:left w:val="single" w:color="1F3864" w:sz="4"/>
              <w:bottom w:val="single" w:color="1F3864" w:sz="4"/>
              <w:right w:val="single" w:color="1F3864" w:sz="4"/>
            </w:tcBorders>
            <w:shd w:fill="F2F0EA" w:val="clear"/>
            <w:tcMar>
              <w:top w:type="dxa" w:w="80"/>
              <w:left w:type="dxa" w:w="120"/>
              <w:bottom w:type="dxa" w:w="80"/>
              <w:right w:type="dxa" w:w="120"/>
            </w:tcMar>
          </w:tcPr>
          <w:p>
            <w:r>
              <w:rPr>
                <w:rFonts w:ascii="Arial" w:cs="Arial" w:eastAsia="Arial" w:hAnsi="Arial"/>
                <w:b/>
                <w:bCs/>
                <w:color w:val="1F3864"/>
                <w:sz w:val="18"/>
                <w:szCs w:val="18"/>
              </w:rPr>
              <w:t xml:space="preserve">Approval date / next review</w:t>
            </w:r>
          </w:p>
        </w:tc>
        <w:tc>
          <w:tcPr>
            <w:tcW w:type="dxa" w:w="676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[DATE]  /  [DATE + 12 MONTHS]</w:t>
            </w:r>
          </w:p>
        </w:tc>
      </w:tr>
    </w:tbl>
    <w:p>
      <w:pPr>
        <w:spacing w:after="240"/>
      </w:pPr>
    </w:p>
    <w:p>
      <w:pPr>
        <w:pBdr>
          <w:bottom w:val="single" w:color="C9A84C" w:sz="6"/>
        </w:pBdr>
        <w:spacing w:after="120" w:before="220"/>
      </w:pPr>
      <w:r>
        <w:rPr>
          <w:rFonts w:ascii="Arial" w:cs="Arial" w:eastAsia="Arial" w:hAnsi="Arial"/>
          <w:b/>
          <w:bCs/>
          <w:color w:val="1F3864"/>
          <w:sz w:val="26"/>
          <w:szCs w:val="26"/>
        </w:rPr>
        <w:t xml:space="preserve">1.  When to Use</w:t>
      </w:r>
    </w:p>
    <w:p>
      <w:pPr>
        <w:spacing w:after="140" w:line="300"/>
        <w:jc w:val="both"/>
      </w:pPr>
      <w:r>
        <w:rPr>
          <w:rFonts w:ascii="Arial" w:cs="Arial" w:eastAsia="Arial" w:hAnsi="Arial"/>
          <w:b w:val="false"/>
          <w:bCs w:val="false"/>
          <w:i w:val="false"/>
          <w:iCs w:val="false"/>
          <w:color w:val="000000"/>
          <w:sz w:val="21"/>
          <w:szCs w:val="21"/>
        </w:rPr>
        <w:t xml:space="preserve">Complete this pack whenever advice involves the full or partial replacement of an existing long-term policy (including funeral and risk policies) with another. Replacement advice is a heightened-risk event: the comparison and client acknowledgements below are mandatory before implementation, and the insurer being replaced may need to be notified per applicable PPR/insurer processes. </w:t>
      </w:r>
      <w:r>
        <w:rPr>
          <w:rFonts w:ascii="Arial" w:cs="Arial" w:eastAsia="Arial" w:hAnsi="Arial"/>
          <w:b/>
          <w:bCs/>
          <w:color w:val="8A6D1D"/>
          <w:sz w:val="21"/>
          <w:szCs w:val="21"/>
        </w:rPr>
        <w:t xml:space="preserve">[VERIFY current amendment wording against the latest gazetted PPR/Code text before member release.]</w:t>
      </w:r>
    </w:p>
    <w:p>
      <w:pPr>
        <w:pBdr>
          <w:bottom w:val="single" w:color="C9A84C" w:sz="6"/>
        </w:pBdr>
        <w:spacing w:after="120" w:before="220"/>
      </w:pPr>
      <w:r>
        <w:rPr>
          <w:rFonts w:ascii="Arial" w:cs="Arial" w:eastAsia="Arial" w:hAnsi="Arial"/>
          <w:b/>
          <w:bCs/>
          <w:color w:val="1F3864"/>
          <w:sz w:val="26"/>
          <w:szCs w:val="26"/>
        </w:rPr>
        <w:t xml:space="preserve">2.  Existing vs Proposed — Mandatory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Existing policy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Proposed policy</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Insurer / product / policy no.</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Premium and escalation</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Benefits and sums assured</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Exclusions and loadings</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Waiting periods (incl. restart risk)</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Surrender/paid-up values affected</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Fees, commission and charges</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Tax and estate consequences</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Cooling-off rights</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t>
            </w:r>
          </w:p>
        </w:tc>
      </w:tr>
    </w:tbl>
    <w:p>
      <w:pPr>
        <w:spacing w:after="120"/>
      </w:pPr>
    </w:p>
    <w:p>
      <w:pPr>
        <w:pBdr>
          <w:bottom w:val="single" w:color="C9A84C" w:sz="6"/>
        </w:pBdr>
        <w:spacing w:after="120" w:before="220"/>
      </w:pPr>
      <w:r>
        <w:rPr>
          <w:rFonts w:ascii="Arial" w:cs="Arial" w:eastAsia="Arial" w:hAnsi="Arial"/>
          <w:b/>
          <w:bCs/>
          <w:color w:val="1F3864"/>
          <w:sz w:val="26"/>
          <w:szCs w:val="26"/>
        </w:rPr>
        <w:t xml:space="preserve">3.  Why Replacement Serves the Client</w:t>
      </w:r>
    </w:p>
    <w:p>
      <w:pPr>
        <w:spacing w:after="140" w:line="300"/>
        <w:jc w:val="both"/>
      </w:pPr>
      <w:r>
        <w:rPr>
          <w:rFonts w:ascii="Arial" w:cs="Arial" w:eastAsia="Arial" w:hAnsi="Arial"/>
          <w:b w:val="false"/>
          <w:bCs w:val="false"/>
          <w:i w:val="false"/>
          <w:iCs w:val="false"/>
          <w:color w:val="000000"/>
          <w:sz w:val="21"/>
          <w:szCs w:val="21"/>
        </w:rPr>
        <w:t xml:space="preserve">Record the specific reasons the replacement is in the client’s interests despite the costs and risks identified above, and why an amendment to the existing policy could not achieve the same outcome: </w:t>
      </w:r>
      <w:r>
        <w:rPr>
          <w:rFonts w:ascii="Arial" w:cs="Arial" w:eastAsia="Arial" w:hAnsi="Arial"/>
          <w:b/>
          <w:bCs/>
          <w:color w:val="8A6D1D"/>
          <w:sz w:val="21"/>
          <w:szCs w:val="21"/>
        </w:rPr>
        <w:t xml:space="preserve">[  ]</w:t>
      </w:r>
      <w:r>
        <w:rPr>
          <w:rFonts w:ascii="Arial" w:cs="Arial" w:eastAsia="Arial" w:hAnsi="Arial"/>
          <w:b w:val="false"/>
          <w:bCs w:val="false"/>
          <w:i w:val="false"/>
          <w:iCs w:val="false"/>
          <w:color w:val="000000"/>
          <w:sz w:val="21"/>
          <w:szCs w:val="21"/>
        </w:rPr>
        <w:t xml:space="preserve">.</w:t>
      </w:r>
    </w:p>
    <w:p>
      <w:pPr>
        <w:pBdr>
          <w:bottom w:val="single" w:color="C9A84C" w:sz="6"/>
        </w:pBdr>
        <w:spacing w:after="120" w:before="220"/>
      </w:pPr>
      <w:r>
        <w:rPr>
          <w:rFonts w:ascii="Arial" w:cs="Arial" w:eastAsia="Arial" w:hAnsi="Arial"/>
          <w:b/>
          <w:bCs/>
          <w:color w:val="1F3864"/>
          <w:sz w:val="26"/>
          <w:szCs w:val="26"/>
        </w:rPr>
        <w:t xml:space="preserve">4.  Client Acknowledgement</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I understand the consequences of replacing my existing policy, including new waiting periods, possible loss of accrued benefits and the costs disclosed above.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I confirm I received this comparison before deciding, and my decision is: </w:t>
      </w:r>
      <w:r>
        <w:rPr>
          <w:rFonts w:ascii="Arial" w:cs="Arial" w:eastAsia="Arial" w:hAnsi="Arial"/>
          <w:b/>
          <w:bCs/>
          <w:color w:val="8A6D1D"/>
          <w:sz w:val="21"/>
          <w:szCs w:val="21"/>
        </w:rPr>
        <w:t xml:space="preserve">[PROCEED / DECLINE]</w:t>
      </w:r>
      <w:r>
        <w:rPr>
          <w:rFonts w:ascii="Arial" w:cs="Arial" w:eastAsia="Arial" w:hAnsi="Arial"/>
          <w:b w:val="false"/>
          <w:bCs w:val="false"/>
          <w:i w:val="false"/>
          <w:iCs w:val="false"/>
          <w:color w:val="000000"/>
          <w:sz w:val="21"/>
          <w:szCs w:val="21"/>
        </w:rPr>
        <w:t xml:space="preserve">.</w:t>
      </w:r>
    </w:p>
    <w:p>
      <w:pPr>
        <w:pStyle w:val="ListParagraph"/>
        <w:numPr>
          <w:ilvl w:val="0"/>
          <w:numId w:val="2"/>
        </w:numPr>
        <w:spacing w:after="60" w:line="300"/>
        <w:jc w:val="both"/>
      </w:pPr>
      <w:r>
        <w:rPr>
          <w:rFonts w:ascii="Arial" w:cs="Arial" w:eastAsia="Arial" w:hAnsi="Arial"/>
          <w:b w:val="false"/>
          <w:bCs w:val="false"/>
          <w:i w:val="false"/>
          <w:iCs w:val="false"/>
          <w:color w:val="000000"/>
          <w:sz w:val="21"/>
          <w:szCs w:val="21"/>
        </w:rPr>
        <w:t xml:space="preserve">Client signature and date: </w:t>
      </w:r>
      <w:r>
        <w:rPr>
          <w:rFonts w:ascii="Arial" w:cs="Arial" w:eastAsia="Arial" w:hAnsi="Arial"/>
          <w:b/>
          <w:bCs/>
          <w:color w:val="8A6D1D"/>
          <w:sz w:val="21"/>
          <w:szCs w:val="21"/>
        </w:rPr>
        <w:t xml:space="preserve">[  ]</w:t>
      </w:r>
      <w:r>
        <w:rPr>
          <w:rFonts w:ascii="Arial" w:cs="Arial" w:eastAsia="Arial" w:hAnsi="Arial"/>
          <w:b w:val="false"/>
          <w:bCs w:val="false"/>
          <w:i w:val="false"/>
          <w:iCs w:val="false"/>
          <w:color w:val="000000"/>
          <w:sz w:val="21"/>
          <w:szCs w:val="21"/>
        </w:rPr>
        <w:t xml:space="preserve">   Representative signature and date: </w:t>
      </w:r>
      <w:r>
        <w:rPr>
          <w:rFonts w:ascii="Arial" w:cs="Arial" w:eastAsia="Arial" w:hAnsi="Arial"/>
          <w:b/>
          <w:bCs/>
          <w:color w:val="8A6D1D"/>
          <w:sz w:val="21"/>
          <w:szCs w:val="21"/>
        </w:rPr>
        <w:t xml:space="preserve">[  ]</w:t>
      </w:r>
    </w:p>
    <w:p>
      <w:pPr>
        <w:pBdr>
          <w:bottom w:val="single" w:color="C9A84C" w:sz="6"/>
        </w:pBdr>
        <w:spacing w:after="120" w:before="260"/>
      </w:pPr>
      <w:r>
        <w:rPr>
          <w:rFonts w:ascii="Arial" w:cs="Arial" w:eastAsia="Arial" w:hAnsi="Arial"/>
          <w:b/>
          <w:bCs/>
          <w:color w:val="1F3864"/>
          <w:sz w:val="26"/>
          <w:szCs w:val="26"/>
        </w:rPr>
        <w:t xml:space="preserve">5.  Adoption and Sign-Off</w:t>
      </w:r>
    </w:p>
    <w:p>
      <w:pPr>
        <w:spacing w:after="140" w:line="300"/>
        <w:jc w:val="both"/>
      </w:pPr>
      <w:r>
        <w:rPr>
          <w:rFonts w:ascii="Arial" w:cs="Arial" w:eastAsia="Arial" w:hAnsi="Arial"/>
          <w:b w:val="false"/>
          <w:bCs w:val="false"/>
          <w:i w:val="false"/>
          <w:iCs w:val="false"/>
          <w:color w:val="000000"/>
          <w:sz w:val="21"/>
          <w:szCs w:val="21"/>
        </w:rPr>
        <w:t xml:space="preserve">This document was tabled, adapted to the business of </w:t>
      </w:r>
      <w:r>
        <w:rPr>
          <w:rFonts w:ascii="Arial" w:cs="Arial" w:eastAsia="Arial" w:hAnsi="Arial"/>
          <w:b/>
          <w:bCs/>
          <w:color w:val="8A6D1D"/>
          <w:sz w:val="21"/>
          <w:szCs w:val="21"/>
        </w:rPr>
        <w:t xml:space="preserve">[FSP NAME]</w:t>
      </w:r>
      <w:r>
        <w:rPr>
          <w:rFonts w:ascii="Arial" w:cs="Arial" w:eastAsia="Arial" w:hAnsi="Arial"/>
          <w:b w:val="false"/>
          <w:bCs w:val="false"/>
          <w:i w:val="false"/>
          <w:iCs w:val="false"/>
          <w:color w:val="000000"/>
          <w:sz w:val="21"/>
          <w:szCs w:val="21"/>
        </w:rPr>
        <w:t xml:space="preserve">, and formally adopted by the governing body / Key Individual(s) on the date recorded below. It must be reviewed at least annually and whenever a material regulatory or business change occurs.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 and capacity</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Signature</w:t>
            </w:r>
          </w:p>
        </w:tc>
        <w:tc>
          <w:tcPr>
            <w:tcW w:type="dxa" w:w="3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[KEY INDIVIDUAL]</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[DIRECTOR / MEMBER]</w:t>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c>
          <w:tcPr>
            <w:tcW w:type="dxa" w:w="3120"/>
            <w:tcBorders>
              <w:top w:val="single" w:color="1F3864" w:sz="4"/>
              <w:left w:val="single" w:color="1F3864" w:sz="4"/>
              <w:bottom w:val="single" w:color="1F3864" w:sz="4"/>
              <w:right w:val="single" w:color="1F3864" w:sz="4"/>
            </w:tcBorders>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sectPr>
      <w:headerReference w:type="default" r:id="rId7"/>
      <w:footerReference w:type="default" r:id="rId8"/>
      <w:pgSz w:w="11906" w:h="16838" w:orient="portrait"/>
      <w:pgMar w:top="1100" w:right="1250" w:bottom="1100" w:left="12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4"/>
      </w:pBdr>
      <w:tabs>
        <w:tab w:val="right" w:pos="9360"/>
      </w:tabs>
    </w:pPr>
    <w:r>
      <w:rPr>
        <w:rFonts w:ascii="Arial" w:cs="Arial" w:eastAsia="Arial" w:hAnsi="Arial"/>
        <w:color w:val="595959"/>
        <w:sz w:val="15"/>
        <w:szCs w:val="15"/>
      </w:rPr>
      <w:t xml:space="preserve">© Praeto Trading CC (FSP 1457) · Template for member adoption — not legal advice</w:t>
    </w:r>
    <w:r>
      <w:rPr>
        <w:rFonts w:ascii="Arial" w:cs="Arial" w:eastAsia="Arial" w:hAnsi="Arial"/>
        <w:color w:val="595959"/>
        <w:sz w:val="15"/>
        <w:szCs w:val="15"/>
      </w:rPr>
      <w:t xml:space="preserve">	Page </w:t>
    </w:r>
    <w:r>
      <w:rPr>
        <w:rFonts w:ascii="Arial" w:cs="Arial" w:eastAsia="Arial" w:hAnsi="Arial"/>
        <w:color w:val="59595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pBdr>
      <w:tabs>
        <w:tab w:val="right" w:pos="9360"/>
      </w:tabs>
    </w:pPr>
    <w:r>
      <w:rPr>
        <w:rFonts w:ascii="Arial" w:cs="Arial" w:eastAsia="Arial" w:hAnsi="Arial"/>
        <w:b/>
        <w:bCs/>
        <w:color w:val="1F3864"/>
        <w:sz w:val="16"/>
        <w:szCs w:val="16"/>
      </w:rPr>
      <w:t xml:space="preserve">Praeto Compliance Club</w:t>
    </w:r>
    <w:r>
      <w:rPr>
        <w:rFonts w:ascii="Arial" w:cs="Arial" w:eastAsia="Arial" w:hAnsi="Arial"/>
        <w:color w:val="595959"/>
        <w:sz w:val="16"/>
        <w:szCs w:val="16"/>
      </w:rPr>
      <w:t xml:space="preserve">	Insurance Conduct — PPR / General Code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2026-07-14T16:01:28.290Z</dcterms:created>
  <dcterms:modified xsi:type="dcterms:W3CDTF">2026-07-14T16:01:28.290Z</dcterms:modified>
</cp:coreProperties>
</file>

<file path=docProps/custom.xml><?xml version="1.0" encoding="utf-8"?>
<Properties xmlns="http://schemas.openxmlformats.org/officeDocument/2006/custom-properties" xmlns:vt="http://schemas.openxmlformats.org/officeDocument/2006/docPropsVTypes"/>
</file>