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C9A84C"/>
          <w:spacing w:val="40"/>
          <w:sz w:val="20"/>
          <w:szCs w:val="20"/>
        </w:rPr>
        <w:t xml:space="preserve">PRAETO COMPLIANCE CLUB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Binder / Outsourcing Agreement Framework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Framework and checklist for binder and outsourcing arrangements with insurers</w:t>
      </w:r>
    </w:p>
    <w:p>
      <w:pPr>
        <w:pBdr>
          <w:bottom w:val="single" w:color="C9A84C" w:sz="12"/>
        </w:pBdr>
        <w:spacing w:after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Binder / Outsourcing Agreement Framework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Regulatory category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Insurance Conduct — PPR / Binder Regulations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Membership tier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Elite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Version / status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v1.0 — Template for adoption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Adopted by (FSP)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[FSP NAME] (FSP No. [FSP NUMBER])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Owner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[KEY INDIVIDUAL NAME], Key Individual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Approval date / next review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[DATE]  /  [DATE + 12 MONTHS]</w:t>
            </w:r>
          </w:p>
        </w:tc>
      </w:tr>
    </w:tbl>
    <w:p>
      <w:pPr>
        <w:spacing w:after="240"/>
      </w:pP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 Purpose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framework for concluding or reviewing binder agreements (under the Regulations to the Long-term and Short-term Insurance Acts / Insurance Act prudential standards) and outsourcing arrangements with insurers. This is a negotiation and compliance checklist — final agreements must be settled with the insurer and legal counsel: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[LEGAL ADVISOR]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 Binder Functions and Fees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Binder function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Held? (Y/N)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 (% / R)</w:t>
            </w:r>
          </w:p>
        </w:tc>
      </w:tr>
      <w:tr>
        <w:tc>
          <w:tcPr>
            <w:tcW w:type="dxa" w:w="4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 into, vary or renew policies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 ]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4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Determine wording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 ]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4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Determine premiums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 ]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4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Determine value of policy benefits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 ]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4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 claims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 ]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 ]</w:t>
            </w:r>
          </w:p>
        </w:tc>
      </w:tr>
    </w:tbl>
    <w:p>
      <w:pPr>
        <w:spacing w:after="120"/>
      </w:pP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9"/>
          <w:szCs w:val="19"/>
        </w:rPr>
        <w:t xml:space="preserve">Fees must be reasonable and commensurate with the function and cost, and disclosed; conflicted remuneration structures must be assessed against the COI policy and applicable caps.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 Mandatory Agreement Content Checklist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Parties, effective date, functions bound, products and classes covered.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Fee per function, payment basis, and prohibition on double remuneration for the same activity.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Data ownership and access: the insurer has unfettered access to policyholder data; data specifications and return on termination.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Operational requirements: service levels, reporting to the insurer, audit and inspection rights.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Governance: no sub-binding without consent; conflict of interest management; TCF obligations flow-down.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Termination, run-off handling, and policyholder communication plan.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 FSP-Side Controls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Register every binder/outsourcing agreement in the outsourcing register; review annually against actual practice; disclose binder relationships to clients under s.5 of the General Code; and reflect binder income separately in management accounts.</w:t>
      </w:r>
    </w:p>
    <w:p>
      <w:pPr>
        <w:pBdr>
          <w:bottom w:val="single" w:color="C9A84C" w:sz="6"/>
        </w:pBdr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 Adoption and Sign-Off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This document was tabled, adapted to the business of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[FSP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and formally adopted by the governing body / Key Individual(s) on the date recorded below. It must be reviewed at least annually and whenever a material regulatory or business change occurs.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and capacity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[KEY INDIVIDUAL]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[DIRECTOR / MEMBER]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/>
      </w:pBdr>
      <w:tabs>
        <w:tab w:val="right" w:pos="9360"/>
      </w:tabs>
    </w:pPr>
    <w:r>
      <w:rPr>
        <w:rFonts w:ascii="Arial" w:cs="Arial" w:eastAsia="Arial" w:hAnsi="Arial"/>
        <w:color w:val="595959"/>
        <w:sz w:val="15"/>
        <w:szCs w:val="15"/>
      </w:rPr>
      <w:t xml:space="preserve">© Praeto Trading CC (FSP 1457) · Template for member adoption — not legal advice</w:t>
    </w:r>
    <w:r>
      <w:rPr>
        <w:rFonts w:ascii="Arial" w:cs="Arial" w:eastAsia="Arial" w:hAnsi="Arial"/>
        <w:color w:val="595959"/>
        <w:sz w:val="15"/>
        <w:szCs w:val="15"/>
      </w:rPr>
      <w:t xml:space="preserve">	Page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/>
      </w:pBdr>
      <w:tabs>
        <w:tab w:val="right" w:pos="9360"/>
      </w:tabs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Praeto Compliance Club</w:t>
    </w:r>
    <w:r>
      <w:rPr>
        <w:rFonts w:ascii="Arial" w:cs="Arial" w:eastAsia="Arial" w:hAnsi="Arial"/>
        <w:color w:val="595959"/>
        <w:sz w:val="16"/>
        <w:szCs w:val="16"/>
      </w:rPr>
      <w:t xml:space="preserve">	Insurance Conduct — PPR / Binder Regulations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2026-07-14T16:01:28.309Z</dcterms:created>
  <dcterms:modified xsi:type="dcterms:W3CDTF">2026-07-14T16:01:28.309Z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