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C9A84C"/>
          <w:spacing w:val="40"/>
          <w:sz w:val="20"/>
          <w:szCs w:val="20"/>
        </w:rPr>
        <w:t xml:space="preserve">PRAETO COMPLIANCE CLUB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Business Continuity Plan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Maintaining operational ability as required by the Fit and Proper operational ability standards</w:t>
      </w:r>
    </w:p>
    <w:p>
      <w:pPr>
        <w:pBdr>
          <w:bottom w:val="single" w:color="C9A84C" w:sz="12"/>
        </w:pBdr>
        <w:spacing w:after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Business Continuity Plan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Regulatory category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Governance — Operational Resilience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Membership tier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Practitioner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 — Template for adoption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Adopted by (FSP)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[FSP NAME] (FSP No. [FSP NUMBER])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 NAME], Key Individual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Approval date / next review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  /  [DATE + 12 MONTHS]</w:t>
            </w:r>
          </w:p>
        </w:tc>
      </w:tr>
    </w:tbl>
    <w:p>
      <w:pPr>
        <w:spacing w:after="240"/>
      </w:pP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Objectives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To ensure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can continue rendering financial services, protect client records, and meet regulatory deadlines during a disruption (power failure, systems outage, cyber incident, loss of premises, loss of key persons).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Critical Functions and Recovery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0"/>
        <w:gridCol w:w="2340"/>
        <w:gridCol w:w="3380"/>
      </w:tblGrid>
      <w:tr>
        <w:tc>
          <w:tcPr>
            <w:tcW w:type="dxa" w:w="3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RTO</w:t>
            </w:r>
          </w:p>
        </w:tc>
        <w:tc>
          <w:tcPr>
            <w:tcW w:type="dxa" w:w="33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Workaround</w:t>
            </w:r>
          </w:p>
        </w:tc>
      </w:tr>
      <w:tr>
        <w:tc>
          <w:tcPr>
            <w:tcW w:type="dxa" w:w="3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 servicing and claims assistance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[4 hrs]</w:t>
            </w:r>
          </w:p>
        </w:tc>
        <w:tc>
          <w:tcPr>
            <w:tcW w:type="dxa" w:w="33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[Mobile/remote access; provider portals]</w:t>
            </w:r>
          </w:p>
        </w:tc>
      </w:tr>
      <w:tr>
        <w:tc>
          <w:tcPr>
            <w:tcW w:type="dxa" w:w="3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business processing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[1 day]</w:t>
            </w:r>
          </w:p>
        </w:tc>
        <w:tc>
          <w:tcPr>
            <w:tcW w:type="dxa" w:w="33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[Manual forms; capture on restore]</w:t>
            </w:r>
          </w:p>
        </w:tc>
      </w:tr>
      <w:tr>
        <w:tc>
          <w:tcPr>
            <w:tcW w:type="dxa" w:w="3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Regulatory reporting (FSCA/FIC)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[1 day]</w:t>
            </w:r>
          </w:p>
        </w:tc>
        <w:tc>
          <w:tcPr>
            <w:tcW w:type="dxa" w:w="33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[Cloud access from alternate site]</w:t>
            </w:r>
          </w:p>
        </w:tc>
      </w:tr>
      <w:tr>
        <w:tc>
          <w:tcPr>
            <w:tcW w:type="dxa" w:w="36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systems / CRM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[4 hrs]</w:t>
            </w:r>
          </w:p>
        </w:tc>
        <w:tc>
          <w:tcPr>
            <w:tcW w:type="dxa" w:w="33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[Restore from backup — see 4]</w:t>
            </w:r>
          </w:p>
        </w:tc>
      </w:tr>
    </w:tbl>
    <w:p>
      <w:pPr>
        <w:spacing w:after="120"/>
      </w:pP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Key-Person Continuity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If a Key Individual is incapacitated: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[SUCCESSOR / LOCUM ARRANGEMENT]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; the FSCA is notified of KI changes within the prescribed period, and a s.8A-compliant interim oversight arrangement is invoked. Signing authorities and system admin credentials are held in the sealed continuity file at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[LOCATION]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Data Backup and Cyber Response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Backups: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[DAILY]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to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[CLOUD/OFFSITE]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tested restore every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[QUARTER]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last test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[DATE]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Cyber incident: isolate, engage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[IT PROVIDER]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assess POPIA s.22 notification duty, preserve evidence, log in incident register.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Communications tree: staff → clients → product suppliers → FSCA/FIC where relevant. Spokesperson: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 Testing and Maintenance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plan is walked through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[annually]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after every invocation, and on material change. Test results and improvement actions are minuted.</w:t>
      </w:r>
    </w:p>
    <w:p>
      <w:pPr>
        <w:pBdr>
          <w:bottom w:val="single" w:color="C9A84C" w:sz="6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 Adoption and Sign-Off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document was tabled, adapted to the business of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and formally adopted by the governing body / Key Individual(s) on the date recorded below. It must be reviewed at least annually and whenever a material regulatory or business change occurs.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and capacity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[DIRECTOR / MEMBER]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tabs>
        <w:tab w:val="right" w:pos="9360"/>
      </w:tabs>
    </w:pPr>
    <w:r>
      <w:rPr>
        <w:rFonts w:ascii="Arial" w:cs="Arial" w:eastAsia="Arial" w:hAnsi="Arial"/>
        <w:color w:val="595959"/>
        <w:sz w:val="15"/>
        <w:szCs w:val="15"/>
      </w:rPr>
      <w:t xml:space="preserve">© Praeto Trading CC (FSP 1457) · Template for member adoption — not legal advice</w:t>
    </w:r>
    <w:r>
      <w:rPr>
        <w:rFonts w:ascii="Arial" w:cs="Arial" w:eastAsia="Arial" w:hAnsi="Arial"/>
        <w:color w:val="595959"/>
        <w:sz w:val="15"/>
        <w:szCs w:val="15"/>
      </w:rPr>
      <w:t xml:space="preserve">	Page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Praeto Compliance Club</w:t>
    </w:r>
    <w:r>
      <w:rPr>
        <w:rFonts w:ascii="Arial" w:cs="Arial" w:eastAsia="Arial" w:hAnsi="Arial"/>
        <w:color w:val="595959"/>
        <w:sz w:val="16"/>
        <w:szCs w:val="16"/>
      </w:rPr>
      <w:t xml:space="preserve">	Governance — Operational Resilience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2026-07-14T16:01:28.362Z</dcterms:created>
  <dcterms:modified xsi:type="dcterms:W3CDTF">2026-07-14T16:01:28.362Z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