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9A84C"/>
          <w:spacing w:val="40"/>
          <w:sz w:val="20"/>
          <w:szCs w:val="20"/>
        </w:rPr>
        <w:t xml:space="preserve">PRAETO COMPLIANCE CLUB</w:t>
      </w:r>
    </w:p>
    <w:p>
      <w:pPr>
        <w:spacing w:after="60"/>
      </w:pPr>
      <w:r>
        <w:rPr>
          <w:rFonts w:ascii="Arial" w:cs="Arial" w:eastAsia="Arial" w:hAnsi="Arial"/>
          <w:b/>
          <w:bCs/>
          <w:color w:val="1F3864"/>
          <w:sz w:val="44"/>
          <w:szCs w:val="44"/>
        </w:rPr>
        <w:t xml:space="preserve">Customer Due Diligence (KYC) Procedure and Onboarding Forms</w:t>
      </w:r>
    </w:p>
    <w:p>
      <w:pPr>
        <w:spacing w:after="120"/>
      </w:pPr>
      <w:r>
        <w:rPr>
          <w:rFonts w:ascii="Arial" w:cs="Arial" w:eastAsia="Arial" w:hAnsi="Arial"/>
          <w:i/>
          <w:iCs/>
          <w:color w:val="595959"/>
          <w:sz w:val="22"/>
          <w:szCs w:val="22"/>
        </w:rPr>
        <w:t xml:space="preserve">Sections 21–21H of the FIC Act — identity establishment and verification</w:t>
      </w:r>
    </w:p>
    <w:p>
      <w:pPr>
        <w:pBdr>
          <w:bottom w:val="single" w:color="C9A84C" w:sz="12"/>
        </w:pBd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val="false"/>
                <w:bCs w:val="false"/>
                <w:color w:val="FFFFFF"/>
                <w:sz w:val="18"/>
                <w:szCs w:val="18"/>
              </w:rPr>
              <w:t xml:space="preserve">Customer Due Diligence (KYC) Procedure and Onboarding Forms</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Regulatory category</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FIC Act — AML/CFT/CPF</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Membership tier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Foundation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Version / status</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v1.0 — Template for adoption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Adopted by (FSP)</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[FSP NAME] (FSP No. [FSP NUMBER])</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Owner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 NAME], Key Individual</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Approval date / next review</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  [DATE + 12 MONTHS]</w:t>
            </w:r>
          </w:p>
        </w:tc>
      </w:tr>
    </w:tbl>
    <w:p>
      <w:pPr>
        <w:spacing w:after="240"/>
      </w:pPr>
    </w:p>
    <w:p>
      <w:pPr>
        <w:pBdr>
          <w:bottom w:val="single" w:color="C9A84C" w:sz="6"/>
        </w:pBdr>
        <w:spacing w:after="120" w:before="220"/>
      </w:pPr>
      <w:r>
        <w:rPr>
          <w:rFonts w:ascii="Arial" w:cs="Arial" w:eastAsia="Arial" w:hAnsi="Arial"/>
          <w:b/>
          <w:bCs/>
          <w:color w:val="1F3864"/>
          <w:sz w:val="26"/>
          <w:szCs w:val="26"/>
        </w:rPr>
        <w:t xml:space="preserve">1.  Scope</w:t>
      </w:r>
    </w:p>
    <w:p>
      <w:pPr>
        <w:spacing w:after="140" w:line="300"/>
        <w:jc w:val="both"/>
      </w:pPr>
      <w:r>
        <w:rPr>
          <w:rFonts w:ascii="Arial" w:cs="Arial" w:eastAsia="Arial" w:hAnsi="Arial"/>
          <w:b w:val="false"/>
          <w:bCs w:val="false"/>
          <w:i w:val="false"/>
          <w:iCs w:val="false"/>
          <w:color w:val="000000"/>
          <w:sz w:val="21"/>
          <w:szCs w:val="21"/>
        </w:rPr>
        <w:t xml:space="preserve">This procedure operationalises the CDD framework in the RMCP. It applies before establishing any business relationship or concluding any single transaction, and on every trigger event (profile change, suspicion, TFS list update, periodic review).</w:t>
      </w:r>
    </w:p>
    <w:p>
      <w:pPr>
        <w:pBdr>
          <w:bottom w:val="single" w:color="C9A84C" w:sz="6"/>
        </w:pBdr>
        <w:spacing w:after="120" w:before="220"/>
      </w:pPr>
      <w:r>
        <w:rPr>
          <w:rFonts w:ascii="Arial" w:cs="Arial" w:eastAsia="Arial" w:hAnsi="Arial"/>
          <w:b/>
          <w:bCs/>
          <w:color w:val="1F3864"/>
          <w:sz w:val="26"/>
          <w:szCs w:val="26"/>
        </w:rPr>
        <w:t xml:space="preserve">2.  Natural Persons — Establish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Establish</w:t>
            </w:r>
          </w:p>
        </w:tc>
        <w:tc>
          <w:tcPr>
            <w:tcW w:type="dxa" w:w="46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Verify against</w:t>
            </w:r>
          </w:p>
        </w:tc>
      </w:tr>
      <w:tr>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Full names, date of birth, ID/passport number</w:t>
            </w:r>
          </w:p>
        </w:tc>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Green ID book / smart ID / passport (certified or digitally verified)</w:t>
            </w:r>
          </w:p>
        </w:tc>
      </w:tr>
      <w:tr>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Residential address</w:t>
            </w:r>
          </w:p>
        </w:tc>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[Utility bill / bank statement &lt; 3 months, or reliable electronic verification]</w:t>
            </w:r>
          </w:p>
        </w:tc>
      </w:tr>
      <w:tr>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Source of funds for the product</w:t>
            </w:r>
          </w:p>
        </w:tc>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Client declaration; corroborate where risk-rated medium/high</w:t>
            </w:r>
          </w:p>
        </w:tc>
      </w:tr>
      <w:tr>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Tax number (where required by product)</w:t>
            </w:r>
          </w:p>
        </w:tc>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SARS document</w:t>
            </w:r>
          </w:p>
        </w:tc>
      </w:tr>
    </w:tbl>
    <w:p>
      <w:pPr>
        <w:spacing w:after="120"/>
      </w:pPr>
    </w:p>
    <w:p>
      <w:pPr>
        <w:pBdr>
          <w:bottom w:val="single" w:color="C9A84C" w:sz="6"/>
        </w:pBdr>
        <w:spacing w:after="120" w:before="220"/>
      </w:pPr>
      <w:r>
        <w:rPr>
          <w:rFonts w:ascii="Arial" w:cs="Arial" w:eastAsia="Arial" w:hAnsi="Arial"/>
          <w:b/>
          <w:bCs/>
          <w:color w:val="1F3864"/>
          <w:sz w:val="26"/>
          <w:szCs w:val="26"/>
        </w:rPr>
        <w:t xml:space="preserve">3.  Juristic Persons, Trusts and Partnerships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Company: registered name, registration number, registered and business address, CIPC documents; identify every natural person with ≥ </w:t>
      </w:r>
      <w:r>
        <w:rPr>
          <w:rFonts w:ascii="Arial" w:cs="Arial" w:eastAsia="Arial" w:hAnsi="Arial"/>
          <w:b/>
          <w:bCs/>
          <w:color w:val="8A6D1D"/>
          <w:sz w:val="21"/>
          <w:szCs w:val="21"/>
        </w:rPr>
        <w:t xml:space="preserve">[25]</w:t>
      </w:r>
      <w:r>
        <w:rPr>
          <w:rFonts w:ascii="Arial" w:cs="Arial" w:eastAsia="Arial" w:hAnsi="Arial"/>
          <w:b w:val="false"/>
          <w:bCs w:val="false"/>
          <w:i w:val="false"/>
          <w:iCs w:val="false"/>
          <w:color w:val="000000"/>
          <w:sz w:val="21"/>
          <w:szCs w:val="21"/>
        </w:rPr>
        <w:t xml:space="preserve">% ownership or control, each executive director/managing member, and the person acting on behalf of the client.</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Beneficial ownership cascade (s.21B): ownership → control → senior management, documented at each step with reasons.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Trust: trust deed, letters of authority, trustees, founder, beneficiaries (named or class), and controllers.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Partnership: partnership agreement, every partner, and the person managing the partnership.</w:t>
      </w:r>
    </w:p>
    <w:p>
      <w:pPr>
        <w:pBdr>
          <w:bottom w:val="single" w:color="C9A84C" w:sz="6"/>
        </w:pBdr>
        <w:spacing w:after="120" w:before="220"/>
      </w:pPr>
      <w:r>
        <w:rPr>
          <w:rFonts w:ascii="Arial" w:cs="Arial" w:eastAsia="Arial" w:hAnsi="Arial"/>
          <w:b/>
          <w:bCs/>
          <w:color w:val="1F3864"/>
          <w:sz w:val="26"/>
          <w:szCs w:val="26"/>
        </w:rPr>
        <w:t xml:space="preserve">4.  Onboarding Form (Annexure)</w:t>
      </w:r>
    </w:p>
    <w:p>
      <w:pPr>
        <w:spacing w:after="140" w:line="300"/>
        <w:jc w:val="both"/>
      </w:pPr>
      <w:r>
        <w:rPr>
          <w:rFonts w:ascii="Arial" w:cs="Arial" w:eastAsia="Arial" w:hAnsi="Arial"/>
          <w:b w:val="false"/>
          <w:bCs w:val="false"/>
          <w:i w:val="false"/>
          <w:iCs w:val="false"/>
          <w:color w:val="000000"/>
          <w:sz w:val="21"/>
          <w:szCs w:val="21"/>
        </w:rPr>
        <w:t xml:space="preserve">The onboarding form captures: client details; product; risk-rating inputs (client type, channel, geography, source of funds, PEP/adverse media flags); screening result and date; documents obtained; approver. High-risk onboarding requires senior management sign-off before the relationship is established.</w:t>
      </w:r>
    </w:p>
    <w:p>
      <w:pPr>
        <w:pBdr>
          <w:bottom w:val="single" w:color="C9A84C" w:sz="6"/>
        </w:pBdr>
        <w:spacing w:after="120" w:before="220"/>
      </w:pPr>
      <w:r>
        <w:rPr>
          <w:rFonts w:ascii="Arial" w:cs="Arial" w:eastAsia="Arial" w:hAnsi="Arial"/>
          <w:b/>
          <w:bCs/>
          <w:color w:val="1F3864"/>
          <w:sz w:val="26"/>
          <w:szCs w:val="26"/>
        </w:rPr>
        <w:t xml:space="preserve">5.  Remote / Non Face-to-Face Onboarding</w:t>
      </w:r>
    </w:p>
    <w:p>
      <w:pPr>
        <w:spacing w:after="140" w:line="300"/>
        <w:jc w:val="both"/>
      </w:pPr>
      <w:r>
        <w:rPr>
          <w:rFonts w:ascii="Arial" w:cs="Arial" w:eastAsia="Arial" w:hAnsi="Arial"/>
          <w:b w:val="false"/>
          <w:bCs w:val="false"/>
          <w:i w:val="false"/>
          <w:iCs w:val="false"/>
          <w:color w:val="000000"/>
          <w:sz w:val="21"/>
          <w:szCs w:val="21"/>
        </w:rPr>
        <w:t xml:space="preserve">Additional measures apply: </w:t>
      </w:r>
      <w:r>
        <w:rPr>
          <w:rFonts w:ascii="Arial" w:cs="Arial" w:eastAsia="Arial" w:hAnsi="Arial"/>
          <w:b/>
          <w:bCs/>
          <w:color w:val="8A6D1D"/>
          <w:sz w:val="21"/>
          <w:szCs w:val="21"/>
        </w:rPr>
        <w:t xml:space="preserve">[e.g. selfie-with-ID verification, bank account verification, first payment from an account in the client’s name]</w:t>
      </w:r>
      <w:r>
        <w:rPr>
          <w:rFonts w:ascii="Arial" w:cs="Arial" w:eastAsia="Arial" w:hAnsi="Arial"/>
          <w:b w:val="false"/>
          <w:bCs w:val="false"/>
          <w:i w:val="false"/>
          <w:iCs w:val="false"/>
          <w:color w:val="000000"/>
          <w:sz w:val="21"/>
          <w:szCs w:val="21"/>
        </w:rPr>
        <w:t xml:space="preserve">. Document the method used on the onboarding form.</w:t>
      </w:r>
    </w:p>
    <w:p>
      <w:pPr>
        <w:pBdr>
          <w:bottom w:val="single" w:color="C9A84C" w:sz="6"/>
        </w:pBdr>
        <w:spacing w:after="120" w:before="220"/>
      </w:pPr>
      <w:r>
        <w:rPr>
          <w:rFonts w:ascii="Arial" w:cs="Arial" w:eastAsia="Arial" w:hAnsi="Arial"/>
          <w:b/>
          <w:bCs/>
          <w:color w:val="1F3864"/>
          <w:sz w:val="26"/>
          <w:szCs w:val="26"/>
        </w:rPr>
        <w:t xml:space="preserve">6.  Inability to Complete CDD</w:t>
      </w:r>
    </w:p>
    <w:p>
      <w:pPr>
        <w:spacing w:after="140" w:line="300"/>
        <w:jc w:val="both"/>
      </w:pPr>
      <w:r>
        <w:rPr>
          <w:rFonts w:ascii="Arial" w:cs="Arial" w:eastAsia="Arial" w:hAnsi="Arial"/>
          <w:b w:val="false"/>
          <w:bCs w:val="false"/>
          <w:i w:val="false"/>
          <w:iCs w:val="false"/>
          <w:color w:val="000000"/>
          <w:sz w:val="21"/>
          <w:szCs w:val="21"/>
        </w:rPr>
        <w:t xml:space="preserve">If identity cannot be established and verified, the relationship must not be established (or must be terminated) and consideration must be given to filing a s.29 report. Do not tip off the client.</w:t>
      </w:r>
    </w:p>
    <w:p>
      <w:pPr>
        <w:pBdr>
          <w:bottom w:val="single" w:color="C9A84C" w:sz="6"/>
        </w:pBdr>
        <w:spacing w:after="120" w:before="260"/>
      </w:pPr>
      <w:r>
        <w:rPr>
          <w:rFonts w:ascii="Arial" w:cs="Arial" w:eastAsia="Arial" w:hAnsi="Arial"/>
          <w:b/>
          <w:bCs/>
          <w:color w:val="1F3864"/>
          <w:sz w:val="26"/>
          <w:szCs w:val="26"/>
        </w:rPr>
        <w:t xml:space="preserve">7.  Adoption and Sign-Off</w:t>
      </w:r>
    </w:p>
    <w:p>
      <w:pPr>
        <w:spacing w:after="140" w:line="300"/>
        <w:jc w:val="both"/>
      </w:pPr>
      <w:r>
        <w:rPr>
          <w:rFonts w:ascii="Arial" w:cs="Arial" w:eastAsia="Arial" w:hAnsi="Arial"/>
          <w:b w:val="false"/>
          <w:bCs w:val="false"/>
          <w:i w:val="false"/>
          <w:iCs w:val="false"/>
          <w:color w:val="000000"/>
          <w:sz w:val="21"/>
          <w:szCs w:val="21"/>
        </w:rPr>
        <w:t xml:space="preserve">This document was tabled, adapted to the business of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and formally adopted by the governing body / Key Individual(s) on the date recorded below. It must be reviewed at least annually and whenever a material regulatory or business change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 and capacity</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[DIRECTOR / MEMBER]</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360"/>
      </w:tabs>
    </w:pPr>
    <w:r>
      <w:rPr>
        <w:rFonts w:ascii="Arial" w:cs="Arial" w:eastAsia="Arial" w:hAnsi="Arial"/>
        <w:color w:val="595959"/>
        <w:sz w:val="15"/>
        <w:szCs w:val="15"/>
      </w:rPr>
      <w:t xml:space="preserve">© Praeto Trading CC (FSP 1457) · Template for member adoption — not legal advice</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360"/>
      </w:tabs>
    </w:pPr>
    <w:r>
      <w:rPr>
        <w:rFonts w:ascii="Arial" w:cs="Arial" w:eastAsia="Arial" w:hAnsi="Arial"/>
        <w:b/>
        <w:bCs/>
        <w:color w:val="1F3864"/>
        <w:sz w:val="16"/>
        <w:szCs w:val="16"/>
      </w:rPr>
      <w:t xml:space="preserve">Praeto Compliance Club</w:t>
    </w:r>
    <w:r>
      <w:rPr>
        <w:rFonts w:ascii="Arial" w:cs="Arial" w:eastAsia="Arial" w:hAnsi="Arial"/>
        <w:color w:val="595959"/>
        <w:sz w:val="16"/>
        <w:szCs w:val="16"/>
      </w:rPr>
      <w:t xml:space="preserve">	FIC Act — AML/CFT/CPF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2026-07-14T16:01:28.103Z</dcterms:created>
  <dcterms:modified xsi:type="dcterms:W3CDTF">2026-07-14T16:01:28.103Z</dcterms:modified>
</cp:coreProperties>
</file>

<file path=docProps/custom.xml><?xml version="1.0" encoding="utf-8"?>
<Properties xmlns="http://schemas.openxmlformats.org/officeDocument/2006/custom-properties" xmlns:vt="http://schemas.openxmlformats.org/officeDocument/2006/docPropsVTypes"/>
</file>