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C9A84C"/>
          <w:spacing w:val="40"/>
          <w:sz w:val="20"/>
          <w:szCs w:val="20"/>
        </w:rPr>
        <w:t xml:space="preserve">PRAETO COMPLIANCE CLUB</w:t>
      </w:r>
    </w:p>
    <w:p>
      <w:pPr>
        <w:spacing w:after="60"/>
      </w:pPr>
      <w:r>
        <w:rPr>
          <w:rFonts w:ascii="Arial" w:cs="Arial" w:eastAsia="Arial" w:hAnsi="Arial"/>
          <w:b/>
          <w:bCs/>
          <w:color w:val="1F3864"/>
          <w:sz w:val="44"/>
          <w:szCs w:val="44"/>
        </w:rPr>
        <w:t xml:space="preserve">Conflict of Interest Management Policy</w:t>
      </w:r>
    </w:p>
    <w:p>
      <w:pPr>
        <w:spacing w:after="120"/>
      </w:pPr>
      <w:r>
        <w:rPr>
          <w:rFonts w:ascii="Arial" w:cs="Arial" w:eastAsia="Arial" w:hAnsi="Arial"/>
          <w:i/>
          <w:iCs/>
          <w:color w:val="595959"/>
          <w:sz w:val="22"/>
          <w:szCs w:val="22"/>
        </w:rPr>
        <w:t xml:space="preserve">Required by section 3A(2) of the General Code of Conduct</w:t>
      </w:r>
    </w:p>
    <w:p>
      <w:pPr>
        <w:pBdr>
          <w:bottom w:val="single" w:color="C9A84C" w:sz="12"/>
        </w:pBdr>
        <w:spacing w:after="2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Document title</w:t>
            </w:r>
          </w:p>
        </w:tc>
        <w:tc>
          <w:tcPr>
            <w:tcW w:type="dxa" w:w="676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r>
              <w:rPr>
                <w:rFonts w:ascii="Arial" w:cs="Arial" w:eastAsia="Arial" w:hAnsi="Arial"/>
                <w:b w:val="false"/>
                <w:bCs w:val="false"/>
                <w:color w:val="FFFFFF"/>
                <w:sz w:val="18"/>
                <w:szCs w:val="18"/>
              </w:rPr>
              <w:t xml:space="preserve">Conflict of Interest Management Policy</w:t>
            </w:r>
          </w:p>
        </w:tc>
      </w:tr>
      <w:tr>
        <w:tc>
          <w:tcPr>
            <w:tcW w:type="dxa" w:w="2600"/>
            <w:tcBorders>
              <w:top w:val="single" w:color="1F3864" w:sz="4"/>
              <w:left w:val="single" w:color="1F3864" w:sz="4"/>
              <w:bottom w:val="single" w:color="1F3864" w:sz="4"/>
              <w:right w:val="single" w:color="1F3864" w:sz="4"/>
            </w:tcBorders>
            <w:shd w:fill="F2F0EA" w:val="clear"/>
            <w:tcMar>
              <w:top w:type="dxa" w:w="80"/>
              <w:left w:type="dxa" w:w="120"/>
              <w:bottom w:type="dxa" w:w="80"/>
              <w:right w:type="dxa" w:w="120"/>
            </w:tcMar>
          </w:tcPr>
          <w:p>
            <w:r>
              <w:rPr>
                <w:rFonts w:ascii="Arial" w:cs="Arial" w:eastAsia="Arial" w:hAnsi="Arial"/>
                <w:b/>
                <w:bCs/>
                <w:color w:val="1F3864"/>
                <w:sz w:val="18"/>
                <w:szCs w:val="18"/>
              </w:rPr>
              <w:t xml:space="preserve">Regulatory category</w:t>
            </w:r>
          </w:p>
        </w:tc>
        <w:tc>
          <w:tcPr>
            <w:tcW w:type="dxa" w:w="6760"/>
            <w:tcBorders>
              <w:top w:val="single" w:color="1F3864" w:sz="4"/>
              <w:left w:val="single" w:color="1F3864" w:sz="4"/>
              <w:bottom w:val="single" w:color="1F3864" w:sz="4"/>
              <w:right w:val="single" w:color="1F3864"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FAIS Act — General Code of Conduct</w:t>
            </w:r>
          </w:p>
        </w:tc>
      </w:tr>
      <w:tr>
        <w:tc>
          <w:tcPr>
            <w:tcW w:type="dxa" w:w="2600"/>
            <w:tcBorders>
              <w:top w:val="single" w:color="1F3864" w:sz="4"/>
              <w:left w:val="single" w:color="1F3864" w:sz="4"/>
              <w:bottom w:val="single" w:color="1F3864" w:sz="4"/>
              <w:right w:val="single" w:color="1F3864" w:sz="4"/>
            </w:tcBorders>
            <w:shd w:fill="F2F0EA" w:val="clear"/>
            <w:tcMar>
              <w:top w:type="dxa" w:w="80"/>
              <w:left w:type="dxa" w:w="120"/>
              <w:bottom w:type="dxa" w:w="80"/>
              <w:right w:type="dxa" w:w="120"/>
            </w:tcMar>
          </w:tcPr>
          <w:p>
            <w:r>
              <w:rPr>
                <w:rFonts w:ascii="Arial" w:cs="Arial" w:eastAsia="Arial" w:hAnsi="Arial"/>
                <w:b/>
                <w:bCs/>
                <w:color w:val="1F3864"/>
                <w:sz w:val="18"/>
                <w:szCs w:val="18"/>
              </w:rPr>
              <w:t xml:space="preserve">Membership tier</w:t>
            </w:r>
          </w:p>
        </w:tc>
        <w:tc>
          <w:tcPr>
            <w:tcW w:type="dxa" w:w="6760"/>
            <w:tcBorders>
              <w:top w:val="single" w:color="1F3864" w:sz="4"/>
              <w:left w:val="single" w:color="1F3864" w:sz="4"/>
              <w:bottom w:val="single" w:color="1F3864" w:sz="4"/>
              <w:right w:val="single" w:color="1F3864"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Foundation</w:t>
            </w:r>
          </w:p>
        </w:tc>
      </w:tr>
      <w:tr>
        <w:tc>
          <w:tcPr>
            <w:tcW w:type="dxa" w:w="2600"/>
            <w:tcBorders>
              <w:top w:val="single" w:color="1F3864" w:sz="4"/>
              <w:left w:val="single" w:color="1F3864" w:sz="4"/>
              <w:bottom w:val="single" w:color="1F3864" w:sz="4"/>
              <w:right w:val="single" w:color="1F3864" w:sz="4"/>
            </w:tcBorders>
            <w:shd w:fill="F2F0EA" w:val="clear"/>
            <w:tcMar>
              <w:top w:type="dxa" w:w="80"/>
              <w:left w:type="dxa" w:w="120"/>
              <w:bottom w:type="dxa" w:w="80"/>
              <w:right w:type="dxa" w:w="120"/>
            </w:tcMar>
          </w:tcPr>
          <w:p>
            <w:r>
              <w:rPr>
                <w:rFonts w:ascii="Arial" w:cs="Arial" w:eastAsia="Arial" w:hAnsi="Arial"/>
                <w:b/>
                <w:bCs/>
                <w:color w:val="1F3864"/>
                <w:sz w:val="18"/>
                <w:szCs w:val="18"/>
              </w:rPr>
              <w:t xml:space="preserve">Version / status</w:t>
            </w:r>
          </w:p>
        </w:tc>
        <w:tc>
          <w:tcPr>
            <w:tcW w:type="dxa" w:w="6760"/>
            <w:tcBorders>
              <w:top w:val="single" w:color="1F3864" w:sz="4"/>
              <w:left w:val="single" w:color="1F3864" w:sz="4"/>
              <w:bottom w:val="single" w:color="1F3864" w:sz="4"/>
              <w:right w:val="single" w:color="1F3864"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v1.0 — Template for adoption</w:t>
            </w:r>
          </w:p>
        </w:tc>
      </w:tr>
      <w:tr>
        <w:tc>
          <w:tcPr>
            <w:tcW w:type="dxa" w:w="2600"/>
            <w:tcBorders>
              <w:top w:val="single" w:color="1F3864" w:sz="4"/>
              <w:left w:val="single" w:color="1F3864" w:sz="4"/>
              <w:bottom w:val="single" w:color="1F3864" w:sz="4"/>
              <w:right w:val="single" w:color="1F3864" w:sz="4"/>
            </w:tcBorders>
            <w:shd w:fill="F2F0EA" w:val="clear"/>
            <w:tcMar>
              <w:top w:type="dxa" w:w="80"/>
              <w:left w:type="dxa" w:w="120"/>
              <w:bottom w:type="dxa" w:w="80"/>
              <w:right w:type="dxa" w:w="120"/>
            </w:tcMar>
          </w:tcPr>
          <w:p>
            <w:r>
              <w:rPr>
                <w:rFonts w:ascii="Arial" w:cs="Arial" w:eastAsia="Arial" w:hAnsi="Arial"/>
                <w:b/>
                <w:bCs/>
                <w:color w:val="1F3864"/>
                <w:sz w:val="18"/>
                <w:szCs w:val="18"/>
              </w:rPr>
              <w:t xml:space="preserve">Adopted by (FSP)</w:t>
            </w:r>
          </w:p>
        </w:tc>
        <w:tc>
          <w:tcPr>
            <w:tcW w:type="dxa" w:w="6760"/>
            <w:tcBorders>
              <w:top w:val="single" w:color="1F3864" w:sz="4"/>
              <w:left w:val="single" w:color="1F3864" w:sz="4"/>
              <w:bottom w:val="single" w:color="1F3864" w:sz="4"/>
              <w:right w:val="single" w:color="1F3864"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[FSP NAME] (FSP No. [FSP NUMBER])</w:t>
            </w:r>
          </w:p>
        </w:tc>
      </w:tr>
      <w:tr>
        <w:tc>
          <w:tcPr>
            <w:tcW w:type="dxa" w:w="2600"/>
            <w:tcBorders>
              <w:top w:val="single" w:color="1F3864" w:sz="4"/>
              <w:left w:val="single" w:color="1F3864" w:sz="4"/>
              <w:bottom w:val="single" w:color="1F3864" w:sz="4"/>
              <w:right w:val="single" w:color="1F3864" w:sz="4"/>
            </w:tcBorders>
            <w:shd w:fill="F2F0EA" w:val="clear"/>
            <w:tcMar>
              <w:top w:type="dxa" w:w="80"/>
              <w:left w:type="dxa" w:w="120"/>
              <w:bottom w:type="dxa" w:w="80"/>
              <w:right w:type="dxa" w:w="120"/>
            </w:tcMar>
          </w:tcPr>
          <w:p>
            <w:r>
              <w:rPr>
                <w:rFonts w:ascii="Arial" w:cs="Arial" w:eastAsia="Arial" w:hAnsi="Arial"/>
                <w:b/>
                <w:bCs/>
                <w:color w:val="1F3864"/>
                <w:sz w:val="18"/>
                <w:szCs w:val="18"/>
              </w:rPr>
              <w:t xml:space="preserve">Owner</w:t>
            </w:r>
          </w:p>
        </w:tc>
        <w:tc>
          <w:tcPr>
            <w:tcW w:type="dxa" w:w="6760"/>
            <w:tcBorders>
              <w:top w:val="single" w:color="1F3864" w:sz="4"/>
              <w:left w:val="single" w:color="1F3864" w:sz="4"/>
              <w:bottom w:val="single" w:color="1F3864" w:sz="4"/>
              <w:right w:val="single" w:color="1F3864"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[KEY INDIVIDUAL NAME], Key Individual</w:t>
            </w:r>
          </w:p>
        </w:tc>
      </w:tr>
      <w:tr>
        <w:tc>
          <w:tcPr>
            <w:tcW w:type="dxa" w:w="2600"/>
            <w:tcBorders>
              <w:top w:val="single" w:color="1F3864" w:sz="4"/>
              <w:left w:val="single" w:color="1F3864" w:sz="4"/>
              <w:bottom w:val="single" w:color="1F3864" w:sz="4"/>
              <w:right w:val="single" w:color="1F3864" w:sz="4"/>
            </w:tcBorders>
            <w:shd w:fill="F2F0EA" w:val="clear"/>
            <w:tcMar>
              <w:top w:type="dxa" w:w="80"/>
              <w:left w:type="dxa" w:w="120"/>
              <w:bottom w:type="dxa" w:w="80"/>
              <w:right w:type="dxa" w:w="120"/>
            </w:tcMar>
          </w:tcPr>
          <w:p>
            <w:r>
              <w:rPr>
                <w:rFonts w:ascii="Arial" w:cs="Arial" w:eastAsia="Arial" w:hAnsi="Arial"/>
                <w:b/>
                <w:bCs/>
                <w:color w:val="1F3864"/>
                <w:sz w:val="18"/>
                <w:szCs w:val="18"/>
              </w:rPr>
              <w:t xml:space="preserve">Approval date / next review</w:t>
            </w:r>
          </w:p>
        </w:tc>
        <w:tc>
          <w:tcPr>
            <w:tcW w:type="dxa" w:w="6760"/>
            <w:tcBorders>
              <w:top w:val="single" w:color="1F3864" w:sz="4"/>
              <w:left w:val="single" w:color="1F3864" w:sz="4"/>
              <w:bottom w:val="single" w:color="1F3864" w:sz="4"/>
              <w:right w:val="single" w:color="1F3864"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[DATE]  /  [DATE + 12 MONTHS]</w:t>
            </w:r>
          </w:p>
        </w:tc>
      </w:tr>
    </w:tbl>
    <w:p>
      <w:pPr>
        <w:spacing w:after="240"/>
      </w:pPr>
    </w:p>
    <w:p>
      <w:pPr>
        <w:pBdr>
          <w:bottom w:val="single" w:color="C9A84C" w:sz="6"/>
        </w:pBdr>
        <w:spacing w:after="120" w:before="220"/>
      </w:pPr>
      <w:r>
        <w:rPr>
          <w:rFonts w:ascii="Arial" w:cs="Arial" w:eastAsia="Arial" w:hAnsi="Arial"/>
          <w:b/>
          <w:bCs/>
          <w:color w:val="1F3864"/>
          <w:sz w:val="26"/>
          <w:szCs w:val="26"/>
        </w:rPr>
        <w:t xml:space="preserve">1.  Purpose and Regulatory Basis</w:t>
      </w:r>
    </w:p>
    <w:p>
      <w:pPr>
        <w:spacing w:after="140" w:line="300"/>
        <w:jc w:val="both"/>
      </w:pPr>
      <w:r>
        <w:rPr>
          <w:rFonts w:ascii="Arial" w:cs="Arial" w:eastAsia="Arial" w:hAnsi="Arial"/>
          <w:b w:val="false"/>
          <w:bCs w:val="false"/>
          <w:i w:val="false"/>
          <w:iCs w:val="false"/>
          <w:color w:val="000000"/>
          <w:sz w:val="21"/>
          <w:szCs w:val="21"/>
        </w:rPr>
        <w:t xml:space="preserve">Section 3A(2) of the General Code requires every FSP to adopt, implement and maintain a conflict of interest management policy. This policy sets out how </w:t>
      </w:r>
      <w:r>
        <w:rPr>
          <w:rFonts w:ascii="Arial" w:cs="Arial" w:eastAsia="Arial" w:hAnsi="Arial"/>
          <w:b/>
          <w:bCs/>
          <w:color w:val="8A6D1D"/>
          <w:sz w:val="21"/>
          <w:szCs w:val="21"/>
        </w:rPr>
        <w:t xml:space="preserve">[FSP NAME]</w:t>
      </w:r>
      <w:r>
        <w:rPr>
          <w:rFonts w:ascii="Arial" w:cs="Arial" w:eastAsia="Arial" w:hAnsi="Arial"/>
          <w:b w:val="false"/>
          <w:bCs w:val="false"/>
          <w:i w:val="false"/>
          <w:iCs w:val="false"/>
          <w:color w:val="000000"/>
          <w:sz w:val="21"/>
          <w:szCs w:val="21"/>
        </w:rPr>
        <w:t xml:space="preserve"> identifies, mitigates, discloses and — where avoidance is required — avoids conflicts of interest in rendering financial services.</w:t>
      </w:r>
    </w:p>
    <w:p>
      <w:pPr>
        <w:pBdr>
          <w:bottom w:val="single" w:color="C9A84C" w:sz="6"/>
        </w:pBdr>
        <w:spacing w:after="120" w:before="220"/>
      </w:pPr>
      <w:r>
        <w:rPr>
          <w:rFonts w:ascii="Arial" w:cs="Arial" w:eastAsia="Arial" w:hAnsi="Arial"/>
          <w:b/>
          <w:bCs/>
          <w:color w:val="1F3864"/>
          <w:sz w:val="26"/>
          <w:szCs w:val="26"/>
        </w:rPr>
        <w:t xml:space="preserve">2.  Definitions Applied</w:t>
      </w:r>
    </w:p>
    <w:p>
      <w:pPr>
        <w:pStyle w:val="ListParagraph"/>
        <w:numPr>
          <w:ilvl w:val="0"/>
          <w:numId w:val="2"/>
        </w:numPr>
        <w:spacing w:after="60" w:line="300"/>
        <w:jc w:val="both"/>
      </w:pPr>
      <w:r>
        <w:rPr>
          <w:rFonts w:ascii="Arial" w:cs="Arial" w:eastAsia="Arial" w:hAnsi="Arial"/>
          <w:b w:val="false"/>
          <w:bCs w:val="false"/>
          <w:i w:val="false"/>
          <w:iCs w:val="false"/>
          <w:color w:val="000000"/>
          <w:sz w:val="21"/>
          <w:szCs w:val="21"/>
        </w:rPr>
        <w:t xml:space="preserve">Conflict of interest, financial interest, immaterial financial interest, ownership interest, third party and associate bear the meanings in s.1 of the General Code.</w:t>
      </w:r>
    </w:p>
    <w:p>
      <w:pPr>
        <w:pStyle w:val="ListParagraph"/>
        <w:numPr>
          <w:ilvl w:val="0"/>
          <w:numId w:val="2"/>
        </w:numPr>
        <w:spacing w:after="60" w:line="300"/>
        <w:jc w:val="both"/>
      </w:pPr>
      <w:r>
        <w:rPr>
          <w:rFonts w:ascii="Arial" w:cs="Arial" w:eastAsia="Arial" w:hAnsi="Arial"/>
          <w:b w:val="false"/>
          <w:bCs w:val="false"/>
          <w:i w:val="false"/>
          <w:iCs w:val="false"/>
          <w:color w:val="000000"/>
          <w:sz w:val="21"/>
          <w:szCs w:val="21"/>
        </w:rPr>
        <w:t xml:space="preserve">Immaterial financial interest cap: financial interests other than commission/fees authorised by the Code are limited to R1 000 per calendar year per third party (aggregated for the FSP and its representatives).</w:t>
      </w:r>
    </w:p>
    <w:p>
      <w:pPr>
        <w:pBdr>
          <w:bottom w:val="single" w:color="C9A84C" w:sz="6"/>
        </w:pBdr>
        <w:spacing w:after="120" w:before="220"/>
      </w:pPr>
      <w:r>
        <w:rPr>
          <w:rFonts w:ascii="Arial" w:cs="Arial" w:eastAsia="Arial" w:hAnsi="Arial"/>
          <w:b/>
          <w:bCs/>
          <w:color w:val="1F3864"/>
          <w:sz w:val="26"/>
          <w:szCs w:val="26"/>
        </w:rPr>
        <w:t xml:space="preserve">3.  Identification Mechanisms</w:t>
      </w:r>
    </w:p>
    <w:p>
      <w:pPr>
        <w:pStyle w:val="ListParagraph"/>
        <w:numPr>
          <w:ilvl w:val="0"/>
          <w:numId w:val="2"/>
        </w:numPr>
        <w:spacing w:after="60" w:line="300"/>
        <w:jc w:val="both"/>
      </w:pPr>
      <w:r>
        <w:rPr>
          <w:rFonts w:ascii="Arial" w:cs="Arial" w:eastAsia="Arial" w:hAnsi="Arial"/>
          <w:b w:val="false"/>
          <w:bCs w:val="false"/>
          <w:i w:val="false"/>
          <w:iCs w:val="false"/>
          <w:color w:val="000000"/>
          <w:sz w:val="21"/>
          <w:szCs w:val="21"/>
        </w:rPr>
        <w:t xml:space="preserve">Annual conflicts questionnaire completed by every KI and representative.</w:t>
      </w:r>
    </w:p>
    <w:p>
      <w:pPr>
        <w:pStyle w:val="ListParagraph"/>
        <w:numPr>
          <w:ilvl w:val="0"/>
          <w:numId w:val="2"/>
        </w:numPr>
        <w:spacing w:after="60" w:line="300"/>
        <w:jc w:val="both"/>
      </w:pPr>
      <w:r>
        <w:rPr>
          <w:rFonts w:ascii="Arial" w:cs="Arial" w:eastAsia="Arial" w:hAnsi="Arial"/>
          <w:b w:val="false"/>
          <w:bCs w:val="false"/>
          <w:i w:val="false"/>
          <w:iCs w:val="false"/>
          <w:color w:val="000000"/>
          <w:sz w:val="21"/>
          <w:szCs w:val="21"/>
        </w:rPr>
        <w:t xml:space="preserve">New product/provider onboarding checklist includes a conflicts assessment.</w:t>
      </w:r>
    </w:p>
    <w:p>
      <w:pPr>
        <w:pStyle w:val="ListParagraph"/>
        <w:numPr>
          <w:ilvl w:val="0"/>
          <w:numId w:val="2"/>
        </w:numPr>
        <w:spacing w:after="60" w:line="300"/>
        <w:jc w:val="both"/>
      </w:pPr>
      <w:r>
        <w:rPr>
          <w:rFonts w:ascii="Arial" w:cs="Arial" w:eastAsia="Arial" w:hAnsi="Arial"/>
          <w:b w:val="false"/>
          <w:bCs w:val="false"/>
          <w:i w:val="false"/>
          <w:iCs w:val="false"/>
          <w:color w:val="000000"/>
          <w:sz w:val="21"/>
          <w:szCs w:val="21"/>
        </w:rPr>
        <w:t xml:space="preserve">Gifts, incentives and hospitality register — all entries above R</w:t>
      </w:r>
      <w:r>
        <w:rPr>
          <w:rFonts w:ascii="Arial" w:cs="Arial" w:eastAsia="Arial" w:hAnsi="Arial"/>
          <w:b/>
          <w:bCs/>
          <w:color w:val="8A6D1D"/>
          <w:sz w:val="21"/>
          <w:szCs w:val="21"/>
        </w:rPr>
        <w:t xml:space="preserve">[AMOUNT]</w:t>
      </w:r>
      <w:r>
        <w:rPr>
          <w:rFonts w:ascii="Arial" w:cs="Arial" w:eastAsia="Arial" w:hAnsi="Arial"/>
          <w:b w:val="false"/>
          <w:bCs w:val="false"/>
          <w:i w:val="false"/>
          <w:iCs w:val="false"/>
          <w:color w:val="000000"/>
          <w:sz w:val="21"/>
          <w:szCs w:val="21"/>
        </w:rPr>
        <w:t xml:space="preserve"> pre-approved by the Key Individual.</w:t>
      </w:r>
    </w:p>
    <w:p>
      <w:pPr>
        <w:pStyle w:val="ListParagraph"/>
        <w:numPr>
          <w:ilvl w:val="0"/>
          <w:numId w:val="2"/>
        </w:numPr>
        <w:spacing w:after="60" w:line="300"/>
        <w:jc w:val="both"/>
      </w:pPr>
      <w:r>
        <w:rPr>
          <w:rFonts w:ascii="Arial" w:cs="Arial" w:eastAsia="Arial" w:hAnsi="Arial"/>
          <w:b w:val="false"/>
          <w:bCs w:val="false"/>
          <w:i w:val="false"/>
          <w:iCs w:val="false"/>
          <w:color w:val="000000"/>
          <w:sz w:val="21"/>
          <w:szCs w:val="21"/>
        </w:rPr>
        <w:t xml:space="preserve">Review of remuneration, production targets and provider incentive structures for bias risk.</w:t>
      </w:r>
    </w:p>
    <w:p>
      <w:pPr>
        <w:pBdr>
          <w:bottom w:val="single" w:color="C9A84C" w:sz="6"/>
        </w:pBdr>
        <w:spacing w:after="120" w:before="220"/>
      </w:pPr>
      <w:r>
        <w:rPr>
          <w:rFonts w:ascii="Arial" w:cs="Arial" w:eastAsia="Arial" w:hAnsi="Arial"/>
          <w:b/>
          <w:bCs/>
          <w:color w:val="1F3864"/>
          <w:sz w:val="26"/>
          <w:szCs w:val="26"/>
        </w:rPr>
        <w:t xml:space="preserve">4.  Mitigation and Avoidance</w:t>
      </w:r>
    </w:p>
    <w:p>
      <w:pPr>
        <w:spacing w:after="140" w:line="300"/>
        <w:jc w:val="both"/>
      </w:pPr>
      <w:r>
        <w:rPr>
          <w:rFonts w:ascii="Arial" w:cs="Arial" w:eastAsia="Arial" w:hAnsi="Arial"/>
          <w:b w:val="false"/>
          <w:bCs w:val="false"/>
          <w:i w:val="false"/>
          <w:iCs w:val="false"/>
          <w:color w:val="000000"/>
          <w:sz w:val="21"/>
          <w:szCs w:val="21"/>
        </w:rPr>
        <w:t xml:space="preserve">Where a conflict cannot be avoided, it is mitigated through disclosure, independent review of the advice, or reallocation of the client to another representative. Conflicts that cannot be adequately mitigated must be avoided; the reason for any conflict that is not avoided must be documented.</w:t>
      </w:r>
    </w:p>
    <w:p>
      <w:pPr>
        <w:pBdr>
          <w:bottom w:val="single" w:color="C9A84C" w:sz="6"/>
        </w:pBdr>
        <w:spacing w:after="120" w:before="220"/>
      </w:pPr>
      <w:r>
        <w:rPr>
          <w:rFonts w:ascii="Arial" w:cs="Arial" w:eastAsia="Arial" w:hAnsi="Arial"/>
          <w:b/>
          <w:bCs/>
          <w:color w:val="1F3864"/>
          <w:sz w:val="26"/>
          <w:szCs w:val="26"/>
        </w:rPr>
        <w:t xml:space="preserve">5.  Disclosure to Clients</w:t>
      </w:r>
    </w:p>
    <w:p>
      <w:pPr>
        <w:spacing w:after="140" w:line="300"/>
        <w:jc w:val="both"/>
      </w:pPr>
      <w:r>
        <w:rPr>
          <w:rFonts w:ascii="Arial" w:cs="Arial" w:eastAsia="Arial" w:hAnsi="Arial"/>
          <w:b w:val="false"/>
          <w:bCs w:val="false"/>
          <w:i w:val="false"/>
          <w:iCs w:val="false"/>
          <w:color w:val="000000"/>
          <w:sz w:val="21"/>
          <w:szCs w:val="21"/>
        </w:rPr>
        <w:t xml:space="preserve">Representatives disclose any conflict of interest to the affected client in writing at the earliest reasonable opportunity, including the measures taken to mitigate it and the existence of this policy, which is available to clients on request and published at </w:t>
      </w:r>
      <w:r>
        <w:rPr>
          <w:rFonts w:ascii="Arial" w:cs="Arial" w:eastAsia="Arial" w:hAnsi="Arial"/>
          <w:b/>
          <w:bCs/>
          <w:color w:val="8A6D1D"/>
          <w:sz w:val="21"/>
          <w:szCs w:val="21"/>
        </w:rPr>
        <w:t xml:space="preserve">[WEBSITE / OFFICE]</w:t>
      </w:r>
      <w:r>
        <w:rPr>
          <w:rFonts w:ascii="Arial" w:cs="Arial" w:eastAsia="Arial" w:hAnsi="Arial"/>
          <w:b w:val="false"/>
          <w:bCs w:val="false"/>
          <w:i w:val="false"/>
          <w:iCs w:val="false"/>
          <w:color w:val="000000"/>
          <w:sz w:val="21"/>
          <w:szCs w:val="21"/>
        </w:rPr>
        <w:t xml:space="preserve">.</w:t>
      </w:r>
    </w:p>
    <w:p>
      <w:pPr>
        <w:pBdr>
          <w:bottom w:val="single" w:color="C9A84C" w:sz="6"/>
        </w:pBdr>
        <w:spacing w:after="120" w:before="220"/>
      </w:pPr>
      <w:r>
        <w:rPr>
          <w:rFonts w:ascii="Arial" w:cs="Arial" w:eastAsia="Arial" w:hAnsi="Arial"/>
          <w:b/>
          <w:bCs/>
          <w:color w:val="1F3864"/>
          <w:sz w:val="26"/>
          <w:szCs w:val="26"/>
        </w:rPr>
        <w:t xml:space="preserve">6.  Ownership and Associate Interests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Associate / third party</w:t>
            </w:r>
          </w:p>
        </w:tc>
        <w:tc>
          <w:tcPr>
            <w:tcW w:type="dxa" w:w="468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Nature of interest and mitigation</w:t>
            </w:r>
          </w:p>
        </w:tc>
      </w:tr>
      <w:tr>
        <w:tc>
          <w:tcPr>
            <w:tcW w:type="dxa" w:w="4680"/>
            <w:tcBorders>
              <w:top w:val="single" w:color="1F3864" w:sz="4"/>
              <w:left w:val="single" w:color="1F3864" w:sz="4"/>
              <w:bottom w:val="single" w:color="1F3864" w:sz="4"/>
              <w:right w:val="single" w:color="1F3864"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[PRODUCT SUPPLIER]</w:t>
            </w:r>
          </w:p>
        </w:tc>
        <w:tc>
          <w:tcPr>
            <w:tcW w:type="dxa" w:w="4680"/>
            <w:tcBorders>
              <w:top w:val="single" w:color="1F3864" w:sz="4"/>
              <w:left w:val="single" w:color="1F3864" w:sz="4"/>
              <w:bottom w:val="single" w:color="1F3864" w:sz="4"/>
              <w:right w:val="single" w:color="1F3864"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[e.g. binder fees — disclosed in all mandates]</w:t>
            </w:r>
          </w:p>
        </w:tc>
      </w:tr>
      <w:tr>
        <w:tc>
          <w:tcPr>
            <w:tcW w:type="dxa" w:w="4680"/>
            <w:tcBorders>
              <w:top w:val="single" w:color="1F3864" w:sz="4"/>
              <w:left w:val="single" w:color="1F3864" w:sz="4"/>
              <w:bottom w:val="single" w:color="1F3864" w:sz="4"/>
              <w:right w:val="single" w:color="1F3864"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[ASSOCIATE ENTITY]</w:t>
            </w:r>
          </w:p>
        </w:tc>
        <w:tc>
          <w:tcPr>
            <w:tcW w:type="dxa" w:w="4680"/>
            <w:tcBorders>
              <w:top w:val="single" w:color="1F3864" w:sz="4"/>
              <w:left w:val="single" w:color="1F3864" w:sz="4"/>
              <w:bottom w:val="single" w:color="1F3864" w:sz="4"/>
              <w:right w:val="single" w:color="1F3864"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[DESCRIBE]</w:t>
            </w:r>
          </w:p>
        </w:tc>
      </w:tr>
    </w:tbl>
    <w:p>
      <w:pPr>
        <w:spacing w:after="120"/>
      </w:pPr>
    </w:p>
    <w:p>
      <w:pPr>
        <w:pBdr>
          <w:bottom w:val="single" w:color="C9A84C" w:sz="6"/>
        </w:pBdr>
        <w:spacing w:after="120" w:before="220"/>
      </w:pPr>
      <w:r>
        <w:rPr>
          <w:rFonts w:ascii="Arial" w:cs="Arial" w:eastAsia="Arial" w:hAnsi="Arial"/>
          <w:b/>
          <w:bCs/>
          <w:color w:val="1F3864"/>
          <w:sz w:val="26"/>
          <w:szCs w:val="26"/>
        </w:rPr>
        <w:t xml:space="preserve">7.  Compliance and Consequences</w:t>
      </w:r>
    </w:p>
    <w:p>
      <w:pPr>
        <w:spacing w:after="140" w:line="300"/>
        <w:jc w:val="both"/>
      </w:pPr>
      <w:r>
        <w:rPr>
          <w:rFonts w:ascii="Arial" w:cs="Arial" w:eastAsia="Arial" w:hAnsi="Arial"/>
          <w:b w:val="false"/>
          <w:bCs w:val="false"/>
          <w:i w:val="false"/>
          <w:iCs w:val="false"/>
          <w:color w:val="000000"/>
          <w:sz w:val="21"/>
          <w:szCs w:val="21"/>
        </w:rPr>
        <w:t xml:space="preserve">The compliance function reports on this policy in the annual compliance report (s.3A(2)(b)(iv)). Non-compliance by a representative is a breach of the fit and proper honesty and integrity requirement and may trigger the debarment process.</w:t>
      </w:r>
    </w:p>
    <w:p>
      <w:pPr>
        <w:pBdr>
          <w:bottom w:val="single" w:color="C9A84C" w:sz="6"/>
        </w:pBdr>
        <w:spacing w:after="120" w:before="260"/>
      </w:pPr>
      <w:r>
        <w:rPr>
          <w:rFonts w:ascii="Arial" w:cs="Arial" w:eastAsia="Arial" w:hAnsi="Arial"/>
          <w:b/>
          <w:bCs/>
          <w:color w:val="1F3864"/>
          <w:sz w:val="26"/>
          <w:szCs w:val="26"/>
        </w:rPr>
        <w:t xml:space="preserve">8.  Adoption and Sign-Off</w:t>
      </w:r>
    </w:p>
    <w:p>
      <w:pPr>
        <w:spacing w:after="140" w:line="300"/>
        <w:jc w:val="both"/>
      </w:pPr>
      <w:r>
        <w:rPr>
          <w:rFonts w:ascii="Arial" w:cs="Arial" w:eastAsia="Arial" w:hAnsi="Arial"/>
          <w:b w:val="false"/>
          <w:bCs w:val="false"/>
          <w:i w:val="false"/>
          <w:iCs w:val="false"/>
          <w:color w:val="000000"/>
          <w:sz w:val="21"/>
          <w:szCs w:val="21"/>
        </w:rPr>
        <w:t xml:space="preserve">This document was tabled, adapted to the business of </w:t>
      </w:r>
      <w:r>
        <w:rPr>
          <w:rFonts w:ascii="Arial" w:cs="Arial" w:eastAsia="Arial" w:hAnsi="Arial"/>
          <w:b/>
          <w:bCs/>
          <w:color w:val="8A6D1D"/>
          <w:sz w:val="21"/>
          <w:szCs w:val="21"/>
        </w:rPr>
        <w:t xml:space="preserve">[FSP NAME]</w:t>
      </w:r>
      <w:r>
        <w:rPr>
          <w:rFonts w:ascii="Arial" w:cs="Arial" w:eastAsia="Arial" w:hAnsi="Arial"/>
          <w:b w:val="false"/>
          <w:bCs w:val="false"/>
          <w:i w:val="false"/>
          <w:iCs w:val="false"/>
          <w:color w:val="000000"/>
          <w:sz w:val="21"/>
          <w:szCs w:val="21"/>
        </w:rPr>
        <w:t xml:space="preserve">, and formally adopted by the governing body / Key Individual(s) on the date recorded below. It must be reviewed at least annually and whenever a material regulatory or business change occurs.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Name and capacity</w:t>
            </w:r>
          </w:p>
        </w:tc>
        <w:tc>
          <w:tcPr>
            <w:tcW w:type="dxa" w:w="312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Signature</w:t>
            </w:r>
          </w:p>
        </w:tc>
        <w:tc>
          <w:tcPr>
            <w:tcW w:type="dxa" w:w="312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Date</w:t>
            </w:r>
          </w:p>
        </w:tc>
      </w:tr>
      <w:tr>
        <w:tc>
          <w:tcPr>
            <w:tcW w:type="dxa" w:w="3120"/>
            <w:tcBorders>
              <w:top w:val="single" w:color="1F3864" w:sz="4"/>
              <w:left w:val="single" w:color="1F3864" w:sz="4"/>
              <w:bottom w:val="single" w:color="1F3864" w:sz="4"/>
              <w:right w:val="single" w:color="1F3864"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[KEY INDIVIDUAL]</w:t>
            </w:r>
          </w:p>
        </w:tc>
        <w:tc>
          <w:tcPr>
            <w:tcW w:type="dxa" w:w="3120"/>
            <w:tcBorders>
              <w:top w:val="single" w:color="1F3864" w:sz="4"/>
              <w:left w:val="single" w:color="1F3864" w:sz="4"/>
              <w:bottom w:val="single" w:color="1F3864" w:sz="4"/>
              <w:right w:val="single" w:color="1F3864"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c>
          <w:tcPr>
            <w:tcW w:type="dxa" w:w="3120"/>
            <w:tcBorders>
              <w:top w:val="single" w:color="1F3864" w:sz="4"/>
              <w:left w:val="single" w:color="1F3864" w:sz="4"/>
              <w:bottom w:val="single" w:color="1F3864" w:sz="4"/>
              <w:right w:val="single" w:color="1F3864"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120"/>
            <w:tcBorders>
              <w:top w:val="single" w:color="1F3864" w:sz="4"/>
              <w:left w:val="single" w:color="1F3864" w:sz="4"/>
              <w:bottom w:val="single" w:color="1F3864" w:sz="4"/>
              <w:right w:val="single" w:color="1F3864"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[DIRECTOR / MEMBER]</w:t>
            </w:r>
          </w:p>
        </w:tc>
        <w:tc>
          <w:tcPr>
            <w:tcW w:type="dxa" w:w="3120"/>
            <w:tcBorders>
              <w:top w:val="single" w:color="1F3864" w:sz="4"/>
              <w:left w:val="single" w:color="1F3864" w:sz="4"/>
              <w:bottom w:val="single" w:color="1F3864" w:sz="4"/>
              <w:right w:val="single" w:color="1F3864"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c>
          <w:tcPr>
            <w:tcW w:type="dxa" w:w="3120"/>
            <w:tcBorders>
              <w:top w:val="single" w:color="1F3864" w:sz="4"/>
              <w:left w:val="single" w:color="1F3864" w:sz="4"/>
              <w:bottom w:val="single" w:color="1F3864" w:sz="4"/>
              <w:right w:val="single" w:color="1F3864"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bl>
    <w:sectPr>
      <w:headerReference w:type="default" r:id="rId7"/>
      <w:footerReference w:type="default" r:id="rId8"/>
      <w:pgSz w:w="11906" w:h="16838" w:orient="portrait"/>
      <w:pgMar w:top="1100" w:right="1250" w:bottom="1100" w:left="12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4"/>
      </w:pBdr>
      <w:tabs>
        <w:tab w:val="right" w:pos="9360"/>
      </w:tabs>
    </w:pPr>
    <w:r>
      <w:rPr>
        <w:rFonts w:ascii="Arial" w:cs="Arial" w:eastAsia="Arial" w:hAnsi="Arial"/>
        <w:color w:val="595959"/>
        <w:sz w:val="15"/>
        <w:szCs w:val="15"/>
      </w:rPr>
      <w:t xml:space="preserve">© Praeto Trading CC (FSP 1457) · Template for member adoption — not legal advice</w:t>
    </w:r>
    <w:r>
      <w:rPr>
        <w:rFonts w:ascii="Arial" w:cs="Arial" w:eastAsia="Arial" w:hAnsi="Arial"/>
        <w:color w:val="595959"/>
        <w:sz w:val="15"/>
        <w:szCs w:val="15"/>
      </w:rPr>
      <w:t xml:space="preserve">	Page </w:t>
    </w:r>
    <w:r>
      <w:rPr>
        <w:rFonts w:ascii="Arial" w:cs="Arial" w:eastAsia="Arial" w:hAnsi="Arial"/>
        <w:color w:val="59595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4"/>
      </w:pBdr>
      <w:tabs>
        <w:tab w:val="right" w:pos="9360"/>
      </w:tabs>
    </w:pPr>
    <w:r>
      <w:rPr>
        <w:rFonts w:ascii="Arial" w:cs="Arial" w:eastAsia="Arial" w:hAnsi="Arial"/>
        <w:b/>
        <w:bCs/>
        <w:color w:val="1F3864"/>
        <w:sz w:val="16"/>
        <w:szCs w:val="16"/>
      </w:rPr>
      <w:t xml:space="preserve">Praeto Compliance Club</w:t>
    </w:r>
    <w:r>
      <w:rPr>
        <w:rFonts w:ascii="Arial" w:cs="Arial" w:eastAsia="Arial" w:hAnsi="Arial"/>
        <w:color w:val="595959"/>
        <w:sz w:val="16"/>
        <w:szCs w:val="16"/>
      </w:rPr>
      <w:t xml:space="preserve">	FAIS Act — General Code of Conduct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2026-07-14T15:59:02.562Z</dcterms:created>
  <dcterms:modified xsi:type="dcterms:W3CDTF">2026-07-14T15:59:02.562Z</dcterms:modified>
</cp:coreProperties>
</file>

<file path=docProps/custom.xml><?xml version="1.0" encoding="utf-8"?>
<Properties xmlns="http://schemas.openxmlformats.org/officeDocument/2006/custom-properties" xmlns:vt="http://schemas.openxmlformats.org/officeDocument/2006/docPropsVTypes"/>
</file>