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9A84C"/>
          <w:spacing w:val="40"/>
          <w:sz w:val="20"/>
          <w:szCs w:val="20"/>
        </w:rPr>
        <w:t xml:space="preserve">PRAETO COMPLIANCE CLUB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Complaints Management Policy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Section 16–19 of the General Code — internal complaint resolution system</w:t>
      </w:r>
    </w:p>
    <w:p>
      <w:pPr>
        <w:pBdr>
          <w:bottom w:val="single" w:color="C9A84C" w:sz="12"/>
        </w:pBdr>
        <w:spacing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Complaints Management Policy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Regulatory category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FAIS Act — General Code of Conduct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Membership tier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 — Template for adoption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Adopted by (FSP)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[FSP NAME] (FSP No. [FSP NUMBER])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 NAME], Key Individual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Approval date / next review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  /  [DATE + 12 MONTHS]</w:t>
            </w:r>
          </w:p>
        </w:tc>
      </w:tr>
    </w:tbl>
    <w:p>
      <w:pPr>
        <w:spacing w:after="24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Purpose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policy establishes the internal complaint resolution system required by Part XI of the General Code and aligns with TCF Outcome 6 (customers do not face unreasonable post-sale barriers). It applies to every complaint relating to a financial service rendered by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or its representatives.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What Counts as a Complaint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Any expression of dissatisfaction, whether written or oral, alleging that the FSP or a representative has contravened or failed to comply with FAIS or the Code, or has wilfully or negligently rendered a service that caused or is likely to cause prejudice.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Lodgement Channels and Acknowledgement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Channels: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[EMAIL]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[PHONE]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[ADDRESS]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in person. Complaints may be lodged free of charge.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Acknowledge in writing within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[2]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business days, providing the reference number and the name of the responsible person.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Complaints are recorded in the Complaints Register (companion spreadsheet) on the day of receipt.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Investigation and Resolution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Acknowledgement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[2] business days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Investigation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Fair, by a person with adequate expertise not directly involved in the conduct complained of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response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[6] weeks of receipt, with reasons if rejected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Ombud referral notice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unresolved or rejected: client informed of the right to refer to the National Financial Ombud Scheme / FAIS Ombud within six months</w:t>
            </w:r>
          </w:p>
        </w:tc>
      </w:tr>
    </w:tbl>
    <w:p>
      <w:pPr>
        <w:spacing w:after="12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Redress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Where a complaint is upheld,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offers appropriate redress without delay — correction, apology and/or compensation — and records the outcome and any remedial change to processes or training.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 Root-Cause Analysis and Reporting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register is reviewed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[monthly]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by the Key Individual for trends; systemic issues feed into training plans, product/provider reviews and the annual compliance report.</w:t>
      </w:r>
    </w:p>
    <w:p>
      <w:pPr>
        <w:pBdr>
          <w:bottom w:val="single" w:color="C9A84C" w:sz="6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 Adoption and Sign-Off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document was tabled, adapted to the business of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and formally adopted by the governing body / Key Individual(s) on the date recorded below. It must be reviewed at least annually and whenever a material regulatory or business change occurs.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and capacity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[DIRECTOR / MEMBER]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tabs>
        <w:tab w:val="right" w:pos="9360"/>
      </w:tabs>
    </w:pPr>
    <w:r>
      <w:rPr>
        <w:rFonts w:ascii="Arial" w:cs="Arial" w:eastAsia="Arial" w:hAnsi="Arial"/>
        <w:color w:val="595959"/>
        <w:sz w:val="15"/>
        <w:szCs w:val="15"/>
      </w:rPr>
      <w:t xml:space="preserve">© Praeto Trading CC (FSP 1457) · Template for member adoption — not legal advice</w:t>
    </w:r>
    <w:r>
      <w:rPr>
        <w:rFonts w:ascii="Arial" w:cs="Arial" w:eastAsia="Arial" w:hAnsi="Arial"/>
        <w:color w:val="595959"/>
        <w:sz w:val="15"/>
        <w:szCs w:val="15"/>
      </w:rPr>
      <w:t xml:space="preserve">	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Praeto Compliance Club</w:t>
    </w:r>
    <w:r>
      <w:rPr>
        <w:rFonts w:ascii="Arial" w:cs="Arial" w:eastAsia="Arial" w:hAnsi="Arial"/>
        <w:color w:val="595959"/>
        <w:sz w:val="16"/>
        <w:szCs w:val="16"/>
      </w:rPr>
      <w:t xml:space="preserve">	FAIS Act — General Code of Conduct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2026-07-14T15:59:02.658Z</dcterms:created>
  <dcterms:modified xsi:type="dcterms:W3CDTF">2026-07-14T15:59:02.658Z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