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Record of Advice (ROA)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Section 9 of the General Code — completed for every instance of advice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Record of Advice (ROA) Template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FAIS Act — General Code of Conduct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How to Use This Template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Complete a record for every client to whom advice is furnished, and provide a copy to the client. Read with the Financial Needs Analysis and the s.7 disclosure pack. Retain for at least five years after product termination.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Client and Adviser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full name / ID no.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 and place of advice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Representative (name, rep no.)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supervision? (Y/N, supervisor)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Subcategories involved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Needs, Objectives and Analysis (s.8)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Summary of the client’s financial situation, needs and objectives as disclosed: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Information the client declined to provide, and the warning given that incomplete information may affect suitability: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Analysis conducted and products considered (list at least the products/providers compared):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Recommendation and Rationale (s.9(1))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Product(s) recommended: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[PRODUCT, PROVIDER, POLICY/CONTRACT NO.]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Why the product is likely to satisfy the client’s identified needs and objectives: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Material terms, exclusions, charges and risks specifically drawn to the client’s attention: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Replacement Disclosure (if applicable)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Where the advice involves the replacement of an existing product, record the comparison of fees, charges, benefits, exclusions and consequences (including waiting periods, loadings, tax and cooling-off implications), and the client’s acknowledgement. Attach the completed replacement comparison annexure.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Client Election and Signatures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Client decision: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[ACCEPTED / PARTIALLY ACCEPTED / DECLINED — describe]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Client signature and date: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 Representative signature and date: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 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FAIS Act — General Code of Conduct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2026-07-14T15:59:02.735Z</dcterms:created>
  <dcterms:modified xsi:type="dcterms:W3CDTF">2026-07-14T15:59:02.735Z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