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20/10/2024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 PM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PM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Calendario de turnos sprint 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Soto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3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144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Durante el Sprint Review del Sprint 3, el equipo presentó la funcionalidad de gestión de turnos mediante un calendario que permite al administrador asignar, visualizar, modificar y eliminar los turnos de cada trabajador de manera organizada. Se destacó el uso de Firebase para almacenar y recuperar información en tiempo real, garantizando la sincronización de datos. El Product Owner validó el cumplimiento de los criterios de aceptación y sugirió optimizar el rendimiento del calendario en dispositivos móviles para mejorar la experiencia de usuario en futuras iteraciones.</w:t>
            </w:r>
          </w:p>
        </w:tc>
      </w:tr>
    </w:tbl>
    <w:p w:rsidR="00000000" w:rsidDel="00000000" w:rsidP="00000000" w:rsidRDefault="00000000" w:rsidRPr="00000000" w14:paraId="00000037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b="0" l="0" r="0" t="0"/>
          <wp:wrapSquare wrapText="bothSides" distB="0" distT="0" distL="114300" distR="11430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uSUyP5hpEA9t01Xj3DCqC376YA==">CgMxLjA4AHIhMVhlV21ack1mSUNkZ2hHLXF4WS1JM2FtR1lrRlFlUk5i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