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Planning 4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7950"/>
        <w:tblGridChange w:id="0">
          <w:tblGrid>
            <w:gridCol w:w="1050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87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trabajador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marcar mi entrada y salida del recinto mediante el reconocimiento facial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registrar mi asistencia al trabajo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la prioridad de las historias de usuario para comenzar con el desarrollo del entregable, obteniendo el backlog sprint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8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30"/>
        <w:tblGridChange w:id="0">
          <w:tblGrid>
            <w:gridCol w:w="1200"/>
            <w:gridCol w:w="63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1 </w:t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950"/>
        <w:tblGridChange w:id="0">
          <w:tblGrid>
            <w:gridCol w:w="1065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trababajador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marcar mi entrada y salida del recinto mediante el reconocimiento facial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registrar mi asistencia al trabajo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8. El valor asignado a cada historia de usuario se obtiene de la técnica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Esfuerzo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igual al HU05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43H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SmuGwIVIiYoeEosw41AnpEW6g==">CgMxLjA4AHIhMXJLMXlJckZaZGNTa1RubU13T1c4YWw3V3RUSUFBbXZi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