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medicines information</w:t>
      </w:r>
    </w:p>
    <w:p>
      <w:r>
        <w:rPr>
          <w:b w:val="0"/>
          <w:sz w:val="20"/>
        </w:rPr>
        <w:t>Optional worksheet. You can use an existing current pharmacy or HSE medicines list instead.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907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Name / chosen identifier:                           Updated on: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Information came from / list date: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r>
        <w:t>Include medicines you take regularly or occasionally, non-prescription products, vitamins and supplements. Copy instructions from a current source; write “not sure” and ask a pharmacist or clinician about gaps or differences. This is not a prescription.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665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rPr>
                <w:b/>
                <w:sz w:val="18"/>
              </w:rPr>
              <w:t>Name and strength</w:t>
            </w:r>
          </w:p>
        </w:tc>
        <w:tc>
          <w:tcPr>
            <w:tcW w:type="dxa" w:w="2665"/>
          </w:tcPr>
          <w:p>
            <w:r>
              <w:rPr>
                <w:b/>
                <w:sz w:val="18"/>
              </w:rPr>
              <w:t>How much I take, how I take it and when</w:t>
            </w:r>
          </w:p>
        </w:tc>
        <w:tc>
          <w:tcPr>
            <w:tcW w:type="dxa" w:w="2438"/>
          </w:tcPr>
          <w:p>
            <w:r>
              <w:rPr>
                <w:b/>
                <w:sz w:val="18"/>
              </w:rPr>
              <w:t>Regular / as needed; instructions or limits</w:t>
            </w:r>
          </w:p>
        </w:tc>
        <w:tc>
          <w:tcPr>
            <w:tcW w:type="dxa" w:w="2438"/>
          </w:tcPr>
          <w:p>
            <w:r>
              <w:rPr>
                <w:b/>
                <w:sz w:val="18"/>
              </w:rPr>
              <w:t>Source / date; notes or questions</w:t>
            </w:r>
          </w:p>
        </w:tc>
      </w:tr>
      <w:tr>
        <w:trPr>
          <w:trHeight w:val="1417" w:hRule="atLeast"/>
          <w:cantSplit/>
        </w:trPr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1417" w:hRule="atLeast"/>
          <w:cantSplit/>
        </w:trPr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1417" w:hRule="atLeast"/>
          <w:cantSplit/>
        </w:trPr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1417" w:hRule="atLeast"/>
          <w:cantSplit/>
        </w:trPr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1417" w:hRule="atLeast"/>
          <w:cantSplit/>
        </w:trPr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47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Allergies / reactions: what caused them and what happened?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Include source / date. Write “not sure” if uncertain.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r>
        <w:t>Do not change treatment because of this worksheet. Keep it current after advice from your clinical team and mark replaced lists “superseded”. Use another dated sheet if you need more rows.</w:t>
      </w:r>
    </w:p>
    <w:p>
      <w:r>
        <w:br w:type="page"/>
      </w:r>
    </w:p>
    <w:p>
      <w:pPr>
        <w:pStyle w:val="Title"/>
      </w:pPr>
      <w:r>
        <w:t>My pharmacy labels</w:t>
      </w:r>
    </w:p>
    <w:p>
      <w:r>
        <w:rPr>
          <w:sz w:val="18"/>
        </w:rPr>
        <w:t>Side 2 of 2. Print the medicines sheet double-sided, flipping on the long edge.</w:t>
      </w:r>
    </w:p>
    <w:p>
      <w:r>
        <w:rPr>
          <w:sz w:val="20"/>
        </w:rPr>
        <w:t>Ask your pharmacy whether it can supply a spare dispensing label, or attach a copy. Keep the original label and instructions on the medicine packaging. Labels may become outdated; keep the list on the front current and ask about any differences.</w:t>
      </w:r>
    </w:p>
    <w:p>
      <w:r>
        <w:t>Name / chosen identifier:                         Sheet date: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3175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Label 1 | Added on:                         Matches medicine / row on front: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Status: current / changed / stopped / not sure       Checked on: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3175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Label 2 | Added on:                         Matches medicine / row on front: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Status: current / changed / stopped / not sure       Checked on: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3175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Label 3 | Added on:                         Matches medicine / row on front: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Status: current / changed / stopped / not sure       Checked on: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r>
        <w:rPr>
          <w:sz w:val="18"/>
        </w:rPr>
        <w:t>Attach a spare label or copy in each space. If it is replaced, mark the old label “superseded” and date the change. Use another copy of this side if needed. A label is a reference, not confirmation that instructions are still current.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 w:val="0"/>
        <w:sz w:val="16"/>
      </w:rPr>
      <w:t xml:space="preserve">v1.1.0 | 22 September 2026 | Patient support, not a clinical record | </w:t>
    </w:r>
    <w:fldSimple w:instr="PAGE"/>
  </w:p>
  <w:p>
    <w:pPr>
      <w:spacing w:after="0"/>
    </w:pPr>
    <w:r>
      <w:rPr>
        <w:b w:val="0"/>
        <w:sz w:val="16"/>
      </w:rPr>
      <w:t>© 2026 Andrew Brogan | MIT licence: continuity.stationarystore.ie/LICENSE.txt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sz w:val="16"/>
      </w:rPr>
      <w:t>PATIENT-HELD CONTINUITY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82B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Liberation Sans" w:hAnsi="Liberation Sans"/>
      <w:b/>
      <w:bCs/>
      <w:color w:val="182B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Liberation Sans" w:hAnsi="Liberation Sans"/>
      <w:b/>
      <w:bCs/>
      <w:color w:val="182B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="Liberation Sans" w:hAnsi="Liberation Sans"/>
      <w:color w:val="182B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medicines information</dc:title>
  <dc:subject>Patient-held Continuity Pack v1.1.0: blank public resource</dc:subject>
  <dc:creator>Andrew Brogan</dc:creator>
  <cp:keywords>patient support, blank template, v1.1.0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