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Waiting and follow-up</w:t>
      </w:r>
    </w:p>
    <w:p>
      <w:r>
        <w:rPr>
          <w:b w:val="0"/>
          <w:sz w:val="20"/>
        </w:rPr>
        <w:t>An optional reminder for you. This sheet does not monitor results or contact anyone.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850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Name / chosen identifier:                           Sheet started on: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p>
      <w:r>
        <w:t>Write the agreed contact route and expected date. If no date was given, ask. Do not assume that no news means a normal result. Seek care when you need it; do not wait for this list.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721"/>
        <w:gridCol w:w="2041"/>
        <w:gridCol w:w="2721"/>
      </w:tblGrid>
      <w:tr>
        <w:trPr>
          <w:tblHeader/>
        </w:trPr>
        <w:tc>
          <w:tcPr>
            <w:tcW w:type="dxa" w:w="2494"/>
          </w:tcPr>
          <w:p>
            <w:r>
              <w:rPr>
                <w:b/>
                <w:sz w:val="18"/>
              </w:rPr>
              <w:t>What am I waiting for?</w:t>
            </w:r>
          </w:p>
        </w:tc>
        <w:tc>
          <w:tcPr>
            <w:tcW w:type="dxa" w:w="2721"/>
          </w:tcPr>
          <w:p>
            <w:r>
              <w:rPr>
                <w:b/>
                <w:sz w:val="18"/>
              </w:rPr>
              <w:t>Who arranges / reviews it? Contact route</w:t>
            </w:r>
          </w:p>
        </w:tc>
        <w:tc>
          <w:tcPr>
            <w:tcW w:type="dxa" w:w="2041"/>
          </w:tcPr>
          <w:p>
            <w:r>
              <w:rPr>
                <w:b/>
                <w:sz w:val="18"/>
              </w:rPr>
              <w:t>Expected by / when to ask</w:t>
            </w:r>
          </w:p>
        </w:tc>
        <w:tc>
          <w:tcPr>
            <w:tcW w:type="dxa" w:w="2721"/>
          </w:tcPr>
          <w:p>
            <w:r>
              <w:rPr>
                <w:b/>
                <w:sz w:val="18"/>
              </w:rPr>
              <w:t>What happened? Date / next step / closed</w:t>
            </w:r>
          </w:p>
        </w:tc>
      </w:tr>
      <w:tr>
        <w:trPr>
          <w:trHeight w:val="1587" w:hRule="atLeast"/>
          <w:cantSplit/>
        </w:trPr>
        <w:tc>
          <w:tcPr>
            <w:tcW w:type="dxa" w:w="2494"/>
          </w:tcPr>
          <w:p/>
        </w:tc>
        <w:tc>
          <w:tcPr>
            <w:tcW w:type="dxa" w:w="2721"/>
          </w:tcPr>
          <w:p/>
        </w:tc>
        <w:tc>
          <w:tcPr>
            <w:tcW w:type="dxa" w:w="2041"/>
          </w:tcPr>
          <w:p/>
        </w:tc>
        <w:tc>
          <w:tcPr>
            <w:tcW w:type="dxa" w:w="2721"/>
          </w:tcPr>
          <w:p/>
        </w:tc>
      </w:tr>
      <w:tr>
        <w:trPr>
          <w:trHeight w:val="1587" w:hRule="atLeast"/>
          <w:cantSplit/>
        </w:trPr>
        <w:tc>
          <w:tcPr>
            <w:tcW w:type="dxa" w:w="2494"/>
          </w:tcPr>
          <w:p/>
        </w:tc>
        <w:tc>
          <w:tcPr>
            <w:tcW w:type="dxa" w:w="2721"/>
          </w:tcPr>
          <w:p/>
        </w:tc>
        <w:tc>
          <w:tcPr>
            <w:tcW w:type="dxa" w:w="2041"/>
          </w:tcPr>
          <w:p/>
        </w:tc>
        <w:tc>
          <w:tcPr>
            <w:tcW w:type="dxa" w:w="2721"/>
          </w:tcPr>
          <w:p/>
        </w:tc>
      </w:tr>
      <w:tr>
        <w:trPr>
          <w:trHeight w:val="1587" w:hRule="atLeast"/>
          <w:cantSplit/>
        </w:trPr>
        <w:tc>
          <w:tcPr>
            <w:tcW w:type="dxa" w:w="2494"/>
          </w:tcPr>
          <w:p/>
        </w:tc>
        <w:tc>
          <w:tcPr>
            <w:tcW w:type="dxa" w:w="2721"/>
          </w:tcPr>
          <w:p/>
        </w:tc>
        <w:tc>
          <w:tcPr>
            <w:tcW w:type="dxa" w:w="2041"/>
          </w:tcPr>
          <w:p/>
        </w:tc>
        <w:tc>
          <w:tcPr>
            <w:tcW w:type="dxa" w:w="2721"/>
          </w:tcPr>
          <w:p/>
        </w:tc>
      </w:tr>
      <w:tr>
        <w:trPr>
          <w:trHeight w:val="1587" w:hRule="atLeast"/>
          <w:cantSplit/>
        </w:trPr>
        <w:tc>
          <w:tcPr>
            <w:tcW w:type="dxa" w:w="2494"/>
          </w:tcPr>
          <w:p/>
        </w:tc>
        <w:tc>
          <w:tcPr>
            <w:tcW w:type="dxa" w:w="2721"/>
          </w:tcPr>
          <w:p/>
        </w:tc>
        <w:tc>
          <w:tcPr>
            <w:tcW w:type="dxa" w:w="2041"/>
          </w:tcPr>
          <w:p/>
        </w:tc>
        <w:tc>
          <w:tcPr>
            <w:tcW w:type="dxa" w:w="2721"/>
          </w:tcPr>
          <w:p/>
        </w:tc>
      </w:tr>
      <w:tr>
        <w:trPr>
          <w:trHeight w:val="1587" w:hRule="atLeast"/>
          <w:cantSplit/>
        </w:trPr>
        <w:tc>
          <w:tcPr>
            <w:tcW w:type="dxa" w:w="2494"/>
          </w:tcPr>
          <w:p/>
        </w:tc>
        <w:tc>
          <w:tcPr>
            <w:tcW w:type="dxa" w:w="2721"/>
          </w:tcPr>
          <w:p/>
        </w:tc>
        <w:tc>
          <w:tcPr>
            <w:tcW w:type="dxa" w:w="2041"/>
          </w:tcPr>
          <w:p/>
        </w:tc>
        <w:tc>
          <w:tcPr>
            <w:tcW w:type="dxa" w:w="2721"/>
          </w:tcPr>
          <w:p/>
        </w:tc>
      </w:tr>
      <w:tr>
        <w:trPr>
          <w:trHeight w:val="1587" w:hRule="atLeast"/>
          <w:cantSplit/>
        </w:trPr>
        <w:tc>
          <w:tcPr>
            <w:tcW w:type="dxa" w:w="2494"/>
          </w:tcPr>
          <w:p/>
        </w:tc>
        <w:tc>
          <w:tcPr>
            <w:tcW w:type="dxa" w:w="2721"/>
          </w:tcPr>
          <w:p/>
        </w:tc>
        <w:tc>
          <w:tcPr>
            <w:tcW w:type="dxa" w:w="2041"/>
          </w:tcPr>
          <w:p/>
        </w:tc>
        <w:tc>
          <w:tcPr>
            <w:tcW w:type="dxa" w:w="2721"/>
          </w:tcPr>
          <w:p/>
        </w:tc>
      </w:tr>
    </w:tbl>
    <w:p>
      <w:r>
        <w:t>Close an item only when you know what happened or have an agreed next step. If a date changes, record the new date and who gave it. Keep the original appointment sheet or letter.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964" w:bottom="907" w:left="96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b w:val="0"/>
        <w:sz w:val="16"/>
      </w:rPr>
      <w:t xml:space="preserve">v1.0.0 | 22 September 2026 | Patient support, not a clinical record | </w:t>
    </w:r>
    <w:fldSimple w:instr="PAGE"/>
  </w:p>
  <w:p>
    <w:pPr>
      <w:spacing w:after="0"/>
    </w:pPr>
    <w:r>
      <w:rPr>
        <w:b w:val="0"/>
        <w:sz w:val="16"/>
      </w:rPr>
      <w:t>© 2026 Andrew Brogan | MIT licence: stationarystore.ie/patient-held-continuity-pack/LICENSE.txt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sz w:val="16"/>
      </w:rPr>
      <w:t>PATIENT-HELD CONTINUITY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182B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="Liberation Sans" w:hAnsi="Liberation Sans"/>
      <w:b/>
      <w:bCs/>
      <w:color w:val="182B3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="Liberation Sans" w:hAnsi="Liberation Sans"/>
      <w:b/>
      <w:bCs/>
      <w:color w:val="182B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="Liberation Sans" w:hAnsi="Liberation Sans"/>
      <w:color w:val="182B3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Waiting and follow-up</dc:title>
  <dc:subject>Patient-held Continuity Pack v1.0.0: blank public resource</dc:subject>
  <dc:creator>Andrew Brogan</dc:creator>
  <cp:keywords>patient support, blank template, v1.0.0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