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6"/>
        </w:rPr>
        <w:t>Interpretable Deep Learning-Based Multi-Omics Integration</w:t>
        <w:br/>
        <w:t>for Prognosis in Hepatocellular Carcinoma</w:t>
      </w:r>
    </w:p>
    <w:p>
      <w:pPr>
        <w:spacing w:before="480"/>
        <w:jc w:val="center"/>
      </w:pPr>
      <w:r>
        <w:rPr>
          <w:rFonts w:ascii="Times New Roman" w:hAnsi="Times New Roman"/>
          <w:b/>
          <w:sz w:val="26"/>
        </w:rPr>
        <w:t>Brhanu F. Znabu</w:t>
      </w:r>
      <w:r>
        <w:rPr>
          <w:rFonts w:ascii="Times New Roman" w:hAnsi="Times New Roman"/>
          <w:sz w:val="26"/>
          <w:vertAlign w:val="superscript"/>
        </w:rPr>
        <w:t>1*</w:t>
      </w:r>
      <w:r>
        <w:rPr>
          <w:rFonts w:ascii="Times New Roman" w:hAnsi="Times New Roman"/>
          <w:b/>
          <w:sz w:val="26"/>
        </w:rPr>
        <w:t>, Zohaib Atif</w:t>
      </w:r>
      <w:r>
        <w:rPr>
          <w:rFonts w:ascii="Times New Roman" w:hAnsi="Times New Roman"/>
          <w:sz w:val="26"/>
          <w:vertAlign w:val="superscript"/>
        </w:rPr>
        <w:t>2</w:t>
      </w:r>
    </w:p>
    <w:p>
      <w:pPr>
        <w:spacing w:before="240"/>
        <w:jc w:val="center"/>
      </w:pPr>
      <w:r>
        <w:rPr>
          <w:rFonts w:ascii="Times New Roman" w:hAnsi="Times New Roman"/>
          <w:sz w:val="20"/>
          <w:vertAlign w:val="superscript"/>
        </w:rPr>
        <w:t>1</w:t>
      </w:r>
      <w:r>
        <w:rPr>
          <w:rFonts w:ascii="Times New Roman" w:hAnsi="Times New Roman"/>
          <w:sz w:val="20"/>
        </w:rPr>
        <w:t>Biomedical Engineering Program, College of Engineering, University of Nebraska-Lincoln, Lincoln, NE 68588-0642, USA</w:t>
      </w:r>
    </w:p>
    <w:p>
      <w:pPr>
        <w:jc w:val="center"/>
      </w:pPr>
      <w:r>
        <w:rPr>
          <w:rFonts w:ascii="Times New Roman" w:hAnsi="Times New Roman"/>
          <w:sz w:val="20"/>
          <w:vertAlign w:val="superscript"/>
        </w:rPr>
        <w:t>2</w:t>
      </w:r>
      <w:r>
        <w:rPr>
          <w:rFonts w:ascii="Times New Roman" w:hAnsi="Times New Roman"/>
          <w:sz w:val="20"/>
        </w:rPr>
        <w:t>Department of Biomedical Science and Engineering, Gwangju 61005, South Korea</w:t>
      </w:r>
    </w:p>
    <w:p>
      <w:pPr>
        <w:spacing w:before="240"/>
        <w:jc w:val="center"/>
      </w:pPr>
      <w:r>
        <w:rPr>
          <w:rFonts w:ascii="Times New Roman" w:hAnsi="Times New Roman"/>
          <w:i/>
          <w:sz w:val="20"/>
        </w:rPr>
        <w:t>*Corresponding author: Brhanu F. Znabu, 25674436@nebraska.edu, ORCID: 0009-0009-7230-754X</w:t>
      </w:r>
    </w:p>
    <w:p>
      <w:r>
        <w:br w:type="page"/>
      </w:r>
    </w:p>
    <w:p>
      <w:pPr>
        <w:pStyle w:val="Heading1"/>
      </w:pPr>
      <w:r>
        <w:t>Abstract</w:t>
      </w:r>
    </w:p>
    <w:p>
      <w:r>
        <w:rPr>
          <w:rFonts w:ascii="Times New Roman" w:hAnsi="Times New Roman"/>
          <w:b w:val="0"/>
          <w:i w:val="0"/>
          <w:sz w:val="24"/>
        </w:rPr>
        <w:t>Hepatocellular carcinoma (HCC) is a leading cause of cancer mortality worldwide, yet existing prognostic models incompletely capture its molecular heterogeneity. We developed an interpretable, attention-based multi-branch deep learning framework for multi-omics survival prediction in HCC. Using 358 TCGA LIHC patients with matched mRNA expression, miRNA expression, and DNA methylation data, we first reproduced the Chaudhary et al. autoencoder-based survival model as a baseline (C-index = 0.561, log-rank p = 3.10 × 10⁻²). We then designed a multi-branch architecture with omics-specific encoders, multi-head attention fusion, and Cox partial likelihood training, optimized via Bayesian hyperparameter search (100 Optuna trials). In 5-fold stratified cross-validation, our attention model achieved a mean C-index of 0.751 ± 0.030, substantially outperforming the autoencoder baseline (0.561), an AUTOSurv-like benchmark (0.697), and a clinical-only model (0.637). Branch dropout enabled single-omics inference; external validation on the real GSE14520 cohort (n=221, mRNA) achieved a C-index of 0.637 (p = 0.004), comparable to Chaudhary et al.’s reported 0.67 on the same data. Integrated gradients and attention weights identified biologically plausible features, including cell cycle genes (CCNA2, PLK1), Wnt pathway components (FZD7), and high-confidence biomarker candidates stable across all cross-validation folds (PZP, SGCB, CD300LG, ZNF831 for mRNA; 12 miRNAs; 6 CpG sites). Differential expression analysis between model-defined risk groups identified 381 significant genes (Bonferroni p &lt; 0.05), with top upregulated genes including G6PD, CBX2, CEP55, KIF2C, and PLK1. Multivariable Cox regression confirmed that the model-derived risk score adds significant independent prognostic value beyond clinical variables (likelihood ratio test p &lt; 10⁻¹⁰⁰; NRI = 0.398), with consistent performance across all clinical subgroups. This framework provides a transparent, biologically grounded approach to multi-omics prognostication in HCC.</w:t>
      </w:r>
    </w:p>
    <w:p>
      <w:r>
        <w:rPr>
          <w:b/>
          <w:sz w:val="24"/>
        </w:rPr>
        <w:t xml:space="preserve">Keywords: </w:t>
      </w:r>
      <w:r>
        <w:rPr>
          <w:sz w:val="24"/>
        </w:rPr>
        <w:t>hepatocellular carcinoma, deep learning, multi-omics integration, survival prediction, attention mechanism, interpretability, TCGA</w:t>
      </w:r>
    </w:p>
    <w:p>
      <w:r>
        <w:br w:type="page"/>
      </w:r>
    </w:p>
    <w:p>
      <w:pPr>
        <w:pStyle w:val="Heading1"/>
      </w:pPr>
      <w:r>
        <w:t>1. Introduction</w:t>
      </w:r>
    </w:p>
    <w:p>
      <w:r>
        <w:rPr>
          <w:rFonts w:ascii="Times New Roman" w:hAnsi="Times New Roman"/>
          <w:b w:val="0"/>
          <w:i w:val="0"/>
          <w:sz w:val="24"/>
        </w:rPr>
        <w:t>Hepatocellular carcinoma (HCC) is the most common form of primary liver cancer and a leading cause of cancer death globally, with approximately 900,000 new diagnoses and 830,000 deaths per year (Sung et al. 2021; Rumgay et al. 2022). Despite advances in surgical, locoregional, and systemic therapies, HCC carries a poor prognosis, with 5-year overall survival often below 20–30% (Villanueva 2019). A major challenge is that patients with similar clinical stage frequently have very different outcomes, reflecting molecular heterogeneity not captured by traditional staging systems such as the Barcelona Clinic Liver Cancer (BCLC) classification (Llovet et al. 2021).</w:t>
      </w:r>
    </w:p>
    <w:p>
      <w:r>
        <w:rPr>
          <w:rFonts w:ascii="Times New Roman" w:hAnsi="Times New Roman"/>
          <w:b w:val="0"/>
          <w:i w:val="0"/>
          <w:sz w:val="24"/>
        </w:rPr>
        <w:t>The Cancer Genome Atlas (TCGA) and related initiatives have generated comprehensive multi-omics profiles for hundreds of HCC patients, including mRNA expression, miRNA expression, and DNA methylation (Hutter and Zenklusen 2018). These data capture complementary aspects of tumor biology—transcriptional programs, post-transcriptional regulation, and epigenetic state—and provide an opportunity for molecular risk stratification that goes beyond clinical variables alone.</w:t>
      </w:r>
    </w:p>
    <w:p>
      <w:r>
        <w:rPr>
          <w:rFonts w:ascii="Times New Roman" w:hAnsi="Times New Roman"/>
          <w:b w:val="0"/>
          <w:i w:val="0"/>
          <w:sz w:val="24"/>
        </w:rPr>
        <w:t>Deep learning has emerged as a powerful approach for integrating high-dimensional multi-omics data with survival outcomes (Chaudhary et al. 2018; Huang et al. 2019; Chai et al. 2021). Chaudhary et al. (2018) provided a landmark demonstration by training a deep autoencoder on concatenated mRNA, miRNA, and methylation data from 360 TCGA HCC patients, defining two survival subgroups with significantly different outcomes (C-index = 0.68 on TCGA, validated across five independent cohorts). However, this autoencoder-based model operates as a “black box”: latent features do not map directly to specific genes or CpG sites, and the contribution of each omics layer to risk prediction is not explicitly quantified (Wysocka et al. 2023; Wekesa et al. 2023).</w:t>
      </w:r>
    </w:p>
    <w:p>
      <w:r>
        <w:rPr>
          <w:rFonts w:ascii="Times New Roman" w:hAnsi="Times New Roman"/>
          <w:b w:val="0"/>
          <w:i w:val="0"/>
          <w:sz w:val="24"/>
        </w:rPr>
        <w:t>Recent work has begun to address interpretability in multi-omics survival models through attention-based architectures and feature attribution methods (Jiang et al. 2024; Elbashir et al. 2024; Zhang et al. 2025), but these approaches have not been systematically benchmarked against the Chaudhary et al. framework on the same data, nor applied to HCC multi-omics survival prediction in this specific setting.</w:t>
      </w:r>
    </w:p>
    <w:p>
      <w:r>
        <w:rPr>
          <w:rFonts w:ascii="Times New Roman" w:hAnsi="Times New Roman"/>
          <w:b w:val="0"/>
          <w:i w:val="0"/>
          <w:sz w:val="24"/>
        </w:rPr>
        <w:t>In this study, we address these gaps by: (1) reproducing and benchmarking the Chaudhary et al. autoencoder model on TCGA LIHC data; (2) developing an interpretable, multi-branch, attention-based deep learning architecture with branch dropout for handling missing omics layers; and (3) integrating model interpretability outputs with pathway enrichment, differential expression, and clinical analyses to derive biologically and clinically meaningful insights into aggressive HCC.</w:t>
      </w:r>
    </w:p>
    <w:p>
      <w:pPr>
        <w:pStyle w:val="Heading1"/>
      </w:pPr>
      <w:r>
        <w:t>2. Materials and Methods</w:t>
      </w:r>
    </w:p>
    <w:p>
      <w:pPr>
        <w:pStyle w:val="Heading2"/>
      </w:pPr>
      <w:r>
        <w:t>2.1. Data</w:t>
      </w:r>
    </w:p>
    <w:p>
      <w:r>
        <w:rPr>
          <w:rFonts w:ascii="Times New Roman" w:hAnsi="Times New Roman"/>
          <w:b w:val="0"/>
          <w:i w:val="0"/>
          <w:sz w:val="24"/>
        </w:rPr>
        <w:t>We obtained TCGA Liver Hepatocellular Carcinoma (LIHC) data from the UCSC Xena platform (https://xenabrowser.net/datapages/). Specifically: mRNA expression (HiSeqV2 RNA-seq, log2(normalized count + 1), 20,530 genes × 423 samples), miRNA expression (miRNA HiSeq gene-level, log2(RPM + 1), 2,172 miRNAs × 420 samples), DNA methylation (Illumina HumanMethylation450, beta values, 485,577 CpG sites × 429 samples), and clinical data including overall survival, vital status, age, gender, pathologic stage, and histologic grade.</w:t>
      </w:r>
    </w:p>
    <w:p>
      <w:r>
        <w:rPr>
          <w:rFonts w:ascii="Times New Roman" w:hAnsi="Times New Roman"/>
          <w:b w:val="0"/>
          <w:i w:val="0"/>
          <w:sz w:val="24"/>
        </w:rPr>
        <w:t>After restricting to primary tumor samples (TCGA barcode suffix -01) and requiring matched availability of all three omics layers plus survival data, we obtained a final cohort of 358 patients with 127 events (35.5% event rate) and a median overall survival of 595 days. This is consistent with the 360 patients reported by Chaudhary et al. (2018).</w:t>
      </w:r>
    </w:p>
    <w:p>
      <w:r>
        <w:rPr>
          <w:rFonts w:ascii="Times New Roman" w:hAnsi="Times New Roman"/>
          <w:b w:val="0"/>
          <w:i w:val="0"/>
          <w:sz w:val="24"/>
        </w:rPr>
        <w:t>For external validation, we obtained two publicly available independent HCC cohorts from GEO: GSE14520 (Roessler et al., n=221 tumor samples with survival data, Affymetrix mRNA) and GSE31384 (n=166, miRNA with survival data). Probe-to-gene symbol mapping for GSE14520 was performed using the GPL3921 platform annotation. Three additional cohorts used by Chaudhary et al. (LIRI-JP, E-TABM-36, Hawaiian) were not included as they require controlled-access applications or lacked publicly available survival annotations.</w:t>
      </w:r>
    </w:p>
    <w:p>
      <w:pPr>
        <w:pStyle w:val="Heading2"/>
      </w:pPr>
      <w:r>
        <w:t>2.2. Data Preprocessing</w:t>
      </w:r>
    </w:p>
    <w:p>
      <w:r>
        <w:rPr>
          <w:rFonts w:ascii="Times New Roman" w:hAnsi="Times New Roman"/>
          <w:b w:val="0"/>
          <w:i w:val="0"/>
          <w:sz w:val="24"/>
        </w:rPr>
        <w:t>Each omics layer was preprocessed as follows. mRNA: Already provided as log2(x+1) values from UCSC Xena; z-score normalization was applied, and the top 5,000 most variable genes were retained. miRNA: Already log2(RPM+1); z-score normalization; features with variance &gt; 0.01 were retained (1,421 miRNAs). Methylation: CpG sites with &gt;20% missing values were removed (395,619 retained from 485,577); missing values imputed with column medians; top 5,000 most variable CpGs selected, logit-transformed (M-values), and z-score normalized.</w:t>
      </w:r>
    </w:p>
    <w:p>
      <w:r>
        <w:rPr>
          <w:rFonts w:ascii="Times New Roman" w:hAnsi="Times New Roman"/>
          <w:b w:val="0"/>
          <w:i w:val="0"/>
          <w:sz w:val="24"/>
        </w:rPr>
        <w:t>For the attention-based model (Aim 2), additional survival-association filtering was performed using Spearman correlation between feature values and a risk proxy (event/time), selecting the top 1,000 mRNA genes, 300 miRNAs, and 1,000 CpG sites.</w:t>
      </w:r>
    </w:p>
    <w:p>
      <w:pPr>
        <w:pStyle w:val="Heading2"/>
      </w:pPr>
      <w:r>
        <w:t>2.3. Aim 1: Autoencoder Baseline</w:t>
      </w:r>
    </w:p>
    <w:p>
      <w:r>
        <w:rPr>
          <w:rFonts w:ascii="Times New Roman" w:hAnsi="Times New Roman"/>
          <w:b w:val="0"/>
          <w:i w:val="0"/>
          <w:sz w:val="24"/>
        </w:rPr>
        <w:t>Following Chaudhary et al. (2018), we concatenated the three preprocessed omics matrices (11,421 total features) and trained a deep autoencoder in PyTorch. Architecture: Input (11,421) → 500 (tanh, 50% dropout) → 100 (tanh, bottleneck) → 500 (tanh, 50% dropout) → 11,421. Training: 10 epochs, SGD (lr=0.01, momentum=0.9), MSE reconstruction loss with L1 (λ=10⁻⁵) and L2 (λ=10⁻⁴) regularization. Post-training: 100-dimensional bottleneck features were extracted; survival-associated features identified via univariate Cox-PH (p &lt; 0.05); K-means clustering (k=2) defined risk subgroups. Evaluation: Kaplan–Meier curves, log-rank tests, and concordance index. Benchmarking against clinical-only and single-omics PCA + Cox models.</w:t>
      </w:r>
    </w:p>
    <w:p>
      <w:pPr>
        <w:pStyle w:val="Heading2"/>
      </w:pPr>
      <w:r>
        <w:t>2.4. Aim 2: Attention-Based Multi-Branch Model</w:t>
      </w:r>
    </w:p>
    <w:p>
      <w:pPr>
        <w:pStyle w:val="Heading3"/>
      </w:pPr>
      <w:r>
        <w:t>2.4.1. Architecture</w:t>
      </w:r>
    </w:p>
    <w:p>
      <w:r>
        <w:rPr>
          <w:rFonts w:ascii="Times New Roman" w:hAnsi="Times New Roman"/>
          <w:b w:val="0"/>
          <w:i w:val="0"/>
          <w:sz w:val="24"/>
        </w:rPr>
        <w:t>We designed a multi-branch neural network with three omics-specific encoder branches feeding into a multi-head attention fusion module. Branch encoders: Each omics type passes through a two-layer encoder (Linear → BatchNorm → ReLU → Dropout → Linear → BatchNorm → ReLU), producing a latent representation of dimension d. Multi-head attention: A transformer-style multi-head attention module computes cross-omics attention weights, producing a fused patient representation. Risk head: Dropout → Linear(d, 32) → ReLU → Linear(32, 1) for scalar risk score. Loss: Negative Cox partial log-likelihood.</w:t>
      </w:r>
    </w:p>
    <w:p>
      <w:pPr>
        <w:pStyle w:val="Heading3"/>
      </w:pPr>
      <w:r>
        <w:t>2.4.2. Branch Dropout</w:t>
      </w:r>
    </w:p>
    <w:p>
      <w:r>
        <w:rPr>
          <w:rFonts w:ascii="Times New Roman" w:hAnsi="Times New Roman"/>
          <w:b w:val="0"/>
          <w:i w:val="0"/>
          <w:sz w:val="24"/>
        </w:rPr>
        <w:t>During training, entire omics branches were randomly masked (output set to zero) with probability p_drop per branch per sample, with the constraint that at least one branch remains active. The attention module renormalizes weights over active branches, enabling inference with any subset of available omics at test time.</w:t>
      </w:r>
    </w:p>
    <w:p>
      <w:pPr>
        <w:pStyle w:val="Heading3"/>
      </w:pPr>
      <w:r>
        <w:t>2.4.3. Hyperparameter Optimization</w:t>
      </w:r>
    </w:p>
    <w:p>
      <w:r>
        <w:rPr>
          <w:rFonts w:ascii="Times New Roman" w:hAnsi="Times New Roman"/>
          <w:b w:val="0"/>
          <w:i w:val="0"/>
          <w:sz w:val="24"/>
        </w:rPr>
        <w:t>Bayesian optimization via Optuna (100 trials) was used to tune: latent dimension (32, 64, 128), number of attention heads (1, 2, 4), learning rate (10⁻⁴ to 10⁻²), dropout rate (0.3, 0.4, 0.5), L2 weight decay (10⁻⁴ to 10⁻³), batch size (32, 64), and branch dropout probability (0.1–0.3). The objective was mean C-index across 3-fold CV.</w:t>
      </w:r>
    </w:p>
    <w:p>
      <w:pPr>
        <w:pStyle w:val="Heading3"/>
      </w:pPr>
      <w:r>
        <w:t>2.4.4. Interpretability</w:t>
      </w:r>
    </w:p>
    <w:p>
      <w:r>
        <w:rPr>
          <w:rFonts w:ascii="Times New Roman" w:hAnsi="Times New Roman"/>
          <w:b w:val="0"/>
          <w:i w:val="0"/>
          <w:sz w:val="24"/>
        </w:rPr>
        <w:t>Feature-level importance was computed using integrated gradients (30 interpolation steps, zero baseline). Omics-branch importance was derived from attention weights averaged across heads.</w:t>
      </w:r>
    </w:p>
    <w:p>
      <w:pPr>
        <w:pStyle w:val="Heading2"/>
      </w:pPr>
      <w:r>
        <w:t>2.5. Aim 3: Biological and Clinical Interpretation</w:t>
      </w:r>
    </w:p>
    <w:p>
      <w:r>
        <w:rPr>
          <w:rFonts w:ascii="Times New Roman" w:hAnsi="Times New Roman"/>
          <w:b w:val="0"/>
          <w:i w:val="0"/>
          <w:sz w:val="24"/>
        </w:rPr>
        <w:t>Pathway enrichment: Top 200 attention-derived genes tested against curated HCC gene sets (Cell Cycle, Wnt/β-catenin, PI3K/AKT/mTOR, Angiogenesis, Immune Response, Stemness, HCC Markers) using Fisher’s exact test, plus GSEApy against KEGG 2021 and MSigDB Hallmark 2020. Concordance: Jaccard index and Spearman rank correlation between attention-derived and DE feature rankings. Clinical integration: Multivariable Cox regression, likelihood ratio test, NRI. Subgroup analyses by stage, gender, and age. Stability: Kendall’s W across 5 CV folds; features consistently in top 100 designated high-confidence biomarker candidates.</w:t>
      </w:r>
    </w:p>
    <w:p>
      <w:pPr>
        <w:pStyle w:val="Heading1"/>
      </w:pPr>
      <w:r>
        <w:t>3. Results</w:t>
      </w:r>
    </w:p>
    <w:p>
      <w:pPr>
        <w:pStyle w:val="Heading2"/>
      </w:pPr>
      <w:r>
        <w:t>3.1. Aim 1: Autoencoder Baseline Reproduction</w:t>
      </w:r>
    </w:p>
    <w:p>
      <w:r>
        <w:rPr>
          <w:rFonts w:ascii="Times New Roman" w:hAnsi="Times New Roman"/>
          <w:b w:val="0"/>
          <w:i w:val="0"/>
          <w:sz w:val="24"/>
        </w:rPr>
        <w:t>The reproduced autoencoder model identified 10 survival-associated latent features (p &lt; 0.05) from 100 bottleneck dimensions and stratified the 358 TCGA LIHC patients into high-risk (n=191) and low-risk (n=167) subgroups.</w:t>
      </w:r>
    </w:p>
    <w:p>
      <w:r>
        <w:rPr>
          <w:rFonts w:ascii="Times New Roman" w:hAnsi="Times New Roman"/>
          <w:b/>
          <w:sz w:val="22"/>
        </w:rPr>
        <w:t>Table 1. Aim 1 Performance Metrics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Metric</w:t>
            </w:r>
          </w:p>
        </w:tc>
        <w:tc>
          <w:tcPr>
            <w:tcW w:type="dxa" w:w="4320"/>
          </w:tcPr>
          <w:p>
            <w:r>
              <w:rPr>
                <w:rFonts w:ascii="Times New Roman" w:hAnsi="Times New Roman"/>
                <w:b/>
                <w:sz w:val="20"/>
              </w:rPr>
              <w:t>Value</w:t>
            </w:r>
          </w:p>
        </w:tc>
      </w:tr>
      <w:tr>
        <w:tc>
          <w:tcPr>
            <w:tcW w:type="dxa" w:w="4320"/>
          </w:tcPr>
          <w:p>
            <w:r>
              <w:rPr>
                <w:rFonts w:ascii="Times New Roman" w:hAnsi="Times New Roman"/>
                <w:sz w:val="20"/>
              </w:rPr>
              <w:t>C-index (TCGA, autoencoder)</w:t>
            </w:r>
          </w:p>
        </w:tc>
        <w:tc>
          <w:tcPr>
            <w:tcW w:type="dxa" w:w="4320"/>
          </w:tcPr>
          <w:p>
            <w:r>
              <w:rPr>
                <w:rFonts w:ascii="Times New Roman" w:hAnsi="Times New Roman"/>
                <w:sz w:val="20"/>
              </w:rPr>
              <w:t>0.561</w:t>
            </w:r>
          </w:p>
        </w:tc>
      </w:tr>
      <w:tr>
        <w:tc>
          <w:tcPr>
            <w:tcW w:type="dxa" w:w="4320"/>
          </w:tcPr>
          <w:p>
            <w:r>
              <w:rPr>
                <w:rFonts w:ascii="Times New Roman" w:hAnsi="Times New Roman"/>
                <w:sz w:val="20"/>
              </w:rPr>
              <w:t>Log-rank p-value</w:t>
            </w:r>
          </w:p>
        </w:tc>
        <w:tc>
          <w:tcPr>
            <w:tcW w:type="dxa" w:w="4320"/>
          </w:tcPr>
          <w:p>
            <w:r>
              <w:rPr>
                <w:rFonts w:ascii="Times New Roman" w:hAnsi="Times New Roman"/>
                <w:sz w:val="20"/>
              </w:rPr>
              <w:t>3.10 × 10⁻²</w:t>
            </w:r>
          </w:p>
        </w:tc>
      </w:tr>
      <w:tr>
        <w:tc>
          <w:tcPr>
            <w:tcW w:type="dxa" w:w="4320"/>
          </w:tcPr>
          <w:p>
            <w:r>
              <w:rPr>
                <w:rFonts w:ascii="Times New Roman" w:hAnsi="Times New Roman"/>
                <w:sz w:val="20"/>
              </w:rPr>
              <w:t>C-index (Chaudhary et al. reported)</w:t>
            </w:r>
          </w:p>
        </w:tc>
        <w:tc>
          <w:tcPr>
            <w:tcW w:type="dxa" w:w="4320"/>
          </w:tcPr>
          <w:p>
            <w:r>
              <w:rPr>
                <w:rFonts w:ascii="Times New Roman" w:hAnsi="Times New Roman"/>
                <w:sz w:val="20"/>
              </w:rPr>
              <w:t>0.68</w:t>
            </w:r>
          </w:p>
        </w:tc>
      </w:tr>
      <w:tr>
        <w:tc>
          <w:tcPr>
            <w:tcW w:type="dxa" w:w="4320"/>
          </w:tcPr>
          <w:p>
            <w:r>
              <w:rPr>
                <w:rFonts w:ascii="Times New Roman" w:hAnsi="Times New Roman"/>
                <w:sz w:val="20"/>
              </w:rPr>
              <w:t>C-index (clinical only)</w:t>
            </w:r>
          </w:p>
        </w:tc>
        <w:tc>
          <w:tcPr>
            <w:tcW w:type="dxa" w:w="4320"/>
          </w:tcPr>
          <w:p>
            <w:r>
              <w:rPr>
                <w:rFonts w:ascii="Times New Roman" w:hAnsi="Times New Roman"/>
                <w:sz w:val="20"/>
              </w:rPr>
              <w:t>0.637</w:t>
            </w:r>
          </w:p>
        </w:tc>
      </w:tr>
      <w:tr>
        <w:tc>
          <w:tcPr>
            <w:tcW w:type="dxa" w:w="4320"/>
          </w:tcPr>
          <w:p>
            <w:r>
              <w:rPr>
                <w:rFonts w:ascii="Times New Roman" w:hAnsi="Times New Roman"/>
                <w:sz w:val="20"/>
              </w:rPr>
              <w:t>C-index (mRNA only, PCA+Cox)</w:t>
            </w:r>
          </w:p>
        </w:tc>
        <w:tc>
          <w:tcPr>
            <w:tcW w:type="dxa" w:w="4320"/>
          </w:tcPr>
          <w:p>
            <w:r>
              <w:rPr>
                <w:rFonts w:ascii="Times New Roman" w:hAnsi="Times New Roman"/>
                <w:sz w:val="20"/>
              </w:rPr>
              <w:t>0.625</w:t>
            </w:r>
          </w:p>
        </w:tc>
      </w:tr>
      <w:tr>
        <w:tc>
          <w:tcPr>
            <w:tcW w:type="dxa" w:w="4320"/>
          </w:tcPr>
          <w:p>
            <w:r>
              <w:rPr>
                <w:rFonts w:ascii="Times New Roman" w:hAnsi="Times New Roman"/>
                <w:sz w:val="20"/>
              </w:rPr>
              <w:t>C-index (miRNA only, PCA+Cox)</w:t>
            </w:r>
          </w:p>
        </w:tc>
        <w:tc>
          <w:tcPr>
            <w:tcW w:type="dxa" w:w="4320"/>
          </w:tcPr>
          <w:p>
            <w:r>
              <w:rPr>
                <w:rFonts w:ascii="Times New Roman" w:hAnsi="Times New Roman"/>
                <w:sz w:val="20"/>
              </w:rPr>
              <w:t>0.636</w:t>
            </w:r>
          </w:p>
        </w:tc>
      </w:tr>
      <w:tr>
        <w:tc>
          <w:tcPr>
            <w:tcW w:type="dxa" w:w="4320"/>
          </w:tcPr>
          <w:p>
            <w:r>
              <w:rPr>
                <w:rFonts w:ascii="Times New Roman" w:hAnsi="Times New Roman"/>
                <w:sz w:val="20"/>
              </w:rPr>
              <w:t>C-index (methylation only, PCA+Cox)</w:t>
            </w:r>
          </w:p>
        </w:tc>
        <w:tc>
          <w:tcPr>
            <w:tcW w:type="dxa" w:w="4320"/>
          </w:tcPr>
          <w:p>
            <w:r>
              <w:rPr>
                <w:rFonts w:ascii="Times New Roman" w:hAnsi="Times New Roman"/>
                <w:sz w:val="20"/>
              </w:rPr>
              <w:t>0.520</w:t>
            </w:r>
          </w:p>
        </w:tc>
      </w:tr>
    </w:tbl>
    <w:p/>
    <w:p>
      <w:r>
        <w:rPr>
          <w:rFonts w:ascii="Times New Roman" w:hAnsi="Times New Roman"/>
          <w:b w:val="0"/>
          <w:i w:val="0"/>
          <w:sz w:val="24"/>
        </w:rPr>
        <w:t>The autoencoder achieved a C-index of 0.561, lower than Chaudhary et al.’s reported 0.68, attributable to differences in software framework (PyTorch vs. Keras/TF1), preprocessing, and random initialization. The log-rank p-value (0.031) confirmed statistically significant survival separation between risk groups.</w:t>
      </w:r>
    </w:p>
    <w:p>
      <w:pPr>
        <w:jc w:val="center"/>
      </w:pPr>
      <w:r>
        <w:drawing>
          <wp:inline xmlns:a="http://schemas.openxmlformats.org/drawingml/2006/main" xmlns:pic="http://schemas.openxmlformats.org/drawingml/2006/picture">
            <wp:extent cx="5486400" cy="4084629"/>
            <wp:docPr id="1" name="Picture 1"/>
            <wp:cNvGraphicFramePr>
              <a:graphicFrameLocks noChangeAspect="1"/>
            </wp:cNvGraphicFramePr>
            <a:graphic>
              <a:graphicData uri="http://schemas.openxmlformats.org/drawingml/2006/picture">
                <pic:pic>
                  <pic:nvPicPr>
                    <pic:cNvPr id="0" name="aim1_km_curve.png"/>
                    <pic:cNvPicPr/>
                  </pic:nvPicPr>
                  <pic:blipFill>
                    <a:blip r:embed="rId9"/>
                    <a:stretch>
                      <a:fillRect/>
                    </a:stretch>
                  </pic:blipFill>
                  <pic:spPr>
                    <a:xfrm>
                      <a:off x="0" y="0"/>
                      <a:ext cx="5486400" cy="4084629"/>
                    </a:xfrm>
                    <a:prstGeom prst="rect"/>
                  </pic:spPr>
                </pic:pic>
              </a:graphicData>
            </a:graphic>
          </wp:inline>
        </w:drawing>
      </w:r>
    </w:p>
    <w:p>
      <w:pPr>
        <w:spacing w:after="240"/>
        <w:jc w:val="center"/>
      </w:pPr>
      <w:r>
        <w:rPr>
          <w:rFonts w:ascii="Times New Roman" w:hAnsi="Times New Roman"/>
          <w:i/>
          <w:sz w:val="20"/>
        </w:rPr>
        <w:t>Figure 1. Kaplan–Meier survival curves for autoencoder-defined risk subgroups in TCGA LIHC (Aim 1).</w:t>
      </w:r>
    </w:p>
    <w:p>
      <w:pPr>
        <w:jc w:val="center"/>
      </w:pPr>
      <w:r>
        <w:drawing>
          <wp:inline xmlns:a="http://schemas.openxmlformats.org/drawingml/2006/main" xmlns:pic="http://schemas.openxmlformats.org/drawingml/2006/picture">
            <wp:extent cx="5486400" cy="3384437"/>
            <wp:docPr id="2" name="Picture 2"/>
            <wp:cNvGraphicFramePr>
              <a:graphicFrameLocks noChangeAspect="1"/>
            </wp:cNvGraphicFramePr>
            <a:graphic>
              <a:graphicData uri="http://schemas.openxmlformats.org/drawingml/2006/picture">
                <pic:pic>
                  <pic:nvPicPr>
                    <pic:cNvPr id="0" name="aim1_benchmark.png"/>
                    <pic:cNvPicPr/>
                  </pic:nvPicPr>
                  <pic:blipFill>
                    <a:blip r:embed="rId10"/>
                    <a:stretch>
                      <a:fillRect/>
                    </a:stretch>
                  </pic:blipFill>
                  <pic:spPr>
                    <a:xfrm>
                      <a:off x="0" y="0"/>
                      <a:ext cx="5486400" cy="3384437"/>
                    </a:xfrm>
                    <a:prstGeom prst="rect"/>
                  </pic:spPr>
                </pic:pic>
              </a:graphicData>
            </a:graphic>
          </wp:inline>
        </w:drawing>
      </w:r>
    </w:p>
    <w:p>
      <w:pPr>
        <w:spacing w:after="240"/>
        <w:jc w:val="center"/>
      </w:pPr>
      <w:r>
        <w:rPr>
          <w:rFonts w:ascii="Times New Roman" w:hAnsi="Times New Roman"/>
          <w:i/>
          <w:sz w:val="20"/>
        </w:rPr>
        <w:t>Figure 2. Model benchmarking comparison: autoencoder vs. clinical-only and single-omics baselines (Aim 1).</w:t>
      </w:r>
    </w:p>
    <w:p>
      <w:pPr>
        <w:pStyle w:val="Heading2"/>
      </w:pPr>
      <w:r>
        <w:t>3.2. Aim 2: Attention-Based Model Performance</w:t>
      </w:r>
    </w:p>
    <w:p>
      <w:pPr>
        <w:pStyle w:val="Heading3"/>
      </w:pPr>
      <w:r>
        <w:t>3.2.1. Internal Validation</w:t>
      </w:r>
    </w:p>
    <w:p>
      <w:r>
        <w:rPr>
          <w:rFonts w:ascii="Times New Roman" w:hAnsi="Times New Roman"/>
          <w:b w:val="0"/>
          <w:i w:val="0"/>
          <w:sz w:val="24"/>
        </w:rPr>
        <w:t>The attention-based multi-branch model substantially outperformed all baselines in 5-fold stratified cross-validation.</w:t>
      </w:r>
    </w:p>
    <w:p>
      <w:r>
        <w:rPr>
          <w:rFonts w:ascii="Times New Roman" w:hAnsi="Times New Roman"/>
          <w:b/>
          <w:sz w:val="22"/>
        </w:rPr>
        <w:t>Table 2. Model Comparison (5-Fold CV)</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Model</w:t>
            </w:r>
          </w:p>
        </w:tc>
        <w:tc>
          <w:tcPr>
            <w:tcW w:type="dxa" w:w="4320"/>
          </w:tcPr>
          <w:p>
            <w:r>
              <w:rPr>
                <w:rFonts w:ascii="Times New Roman" w:hAnsi="Times New Roman"/>
                <w:b/>
                <w:sz w:val="20"/>
              </w:rPr>
              <w:t>C-index (mean ± SD)</w:t>
            </w:r>
          </w:p>
        </w:tc>
      </w:tr>
      <w:tr>
        <w:tc>
          <w:tcPr>
            <w:tcW w:type="dxa" w:w="4320"/>
          </w:tcPr>
          <w:p>
            <w:r>
              <w:rPr>
                <w:rFonts w:ascii="Times New Roman" w:hAnsi="Times New Roman"/>
                <w:sz w:val="20"/>
              </w:rPr>
              <w:t>Attention model (proposed)</w:t>
            </w:r>
          </w:p>
        </w:tc>
        <w:tc>
          <w:tcPr>
            <w:tcW w:type="dxa" w:w="4320"/>
          </w:tcPr>
          <w:p>
            <w:r>
              <w:rPr>
                <w:rFonts w:ascii="Times New Roman" w:hAnsi="Times New Roman"/>
                <w:sz w:val="20"/>
              </w:rPr>
              <w:t>0.751 ± 0.030</w:t>
            </w:r>
          </w:p>
        </w:tc>
      </w:tr>
      <w:tr>
        <w:tc>
          <w:tcPr>
            <w:tcW w:type="dxa" w:w="4320"/>
          </w:tcPr>
          <w:p>
            <w:r>
              <w:rPr>
                <w:rFonts w:ascii="Times New Roman" w:hAnsi="Times New Roman"/>
                <w:sz w:val="20"/>
              </w:rPr>
              <w:t>AUTOSurv-like baseline</w:t>
            </w:r>
          </w:p>
        </w:tc>
        <w:tc>
          <w:tcPr>
            <w:tcW w:type="dxa" w:w="4320"/>
          </w:tcPr>
          <w:p>
            <w:r>
              <w:rPr>
                <w:rFonts w:ascii="Times New Roman" w:hAnsi="Times New Roman"/>
                <w:sz w:val="20"/>
              </w:rPr>
              <w:t>0.697</w:t>
            </w:r>
          </w:p>
        </w:tc>
      </w:tr>
      <w:tr>
        <w:tc>
          <w:tcPr>
            <w:tcW w:type="dxa" w:w="4320"/>
          </w:tcPr>
          <w:p>
            <w:r>
              <w:rPr>
                <w:rFonts w:ascii="Times New Roman" w:hAnsi="Times New Roman"/>
                <w:sz w:val="20"/>
              </w:rPr>
              <w:t>Clinical only</w:t>
            </w:r>
          </w:p>
        </w:tc>
        <w:tc>
          <w:tcPr>
            <w:tcW w:type="dxa" w:w="4320"/>
          </w:tcPr>
          <w:p>
            <w:r>
              <w:rPr>
                <w:rFonts w:ascii="Times New Roman" w:hAnsi="Times New Roman"/>
                <w:sz w:val="20"/>
              </w:rPr>
              <w:t>0.637</w:t>
            </w:r>
          </w:p>
        </w:tc>
      </w:tr>
      <w:tr>
        <w:tc>
          <w:tcPr>
            <w:tcW w:type="dxa" w:w="4320"/>
          </w:tcPr>
          <w:p>
            <w:r>
              <w:rPr>
                <w:rFonts w:ascii="Times New Roman" w:hAnsi="Times New Roman"/>
                <w:sz w:val="20"/>
              </w:rPr>
              <w:t>Autoencoder (Aim 1)</w:t>
            </w:r>
          </w:p>
        </w:tc>
        <w:tc>
          <w:tcPr>
            <w:tcW w:type="dxa" w:w="4320"/>
          </w:tcPr>
          <w:p>
            <w:r>
              <w:rPr>
                <w:rFonts w:ascii="Times New Roman" w:hAnsi="Times New Roman"/>
                <w:sz w:val="20"/>
              </w:rPr>
              <w:t>0.561</w:t>
            </w:r>
          </w:p>
        </w:tc>
      </w:tr>
    </w:tbl>
    <w:p/>
    <w:p>
      <w:r>
        <w:rPr>
          <w:rFonts w:ascii="Times New Roman" w:hAnsi="Times New Roman"/>
          <w:b/>
          <w:sz w:val="22"/>
        </w:rPr>
        <w:t>Table 3. 5-Fold Cross-Validation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Fold</w:t>
            </w:r>
          </w:p>
        </w:tc>
        <w:tc>
          <w:tcPr>
            <w:tcW w:type="dxa" w:w="1728"/>
          </w:tcPr>
          <w:p>
            <w:r>
              <w:rPr>
                <w:rFonts w:ascii="Times New Roman" w:hAnsi="Times New Roman"/>
                <w:b/>
                <w:sz w:val="20"/>
              </w:rPr>
              <w:t>C-index</w:t>
            </w:r>
          </w:p>
        </w:tc>
        <w:tc>
          <w:tcPr>
            <w:tcW w:type="dxa" w:w="1728"/>
          </w:tcPr>
          <w:p>
            <w:r>
              <w:rPr>
                <w:rFonts w:ascii="Times New Roman" w:hAnsi="Times New Roman"/>
                <w:b/>
                <w:sz w:val="20"/>
              </w:rPr>
              <w:t>Val. N</w:t>
            </w:r>
          </w:p>
        </w:tc>
        <w:tc>
          <w:tcPr>
            <w:tcW w:type="dxa" w:w="1728"/>
          </w:tcPr>
          <w:p>
            <w:r>
              <w:rPr>
                <w:rFonts w:ascii="Times New Roman" w:hAnsi="Times New Roman"/>
                <w:b/>
                <w:sz w:val="20"/>
              </w:rPr>
              <w:t>Events</w:t>
            </w:r>
          </w:p>
        </w:tc>
        <w:tc>
          <w:tcPr>
            <w:tcW w:type="dxa" w:w="1728"/>
          </w:tcPr>
          <w:p>
            <w:r>
              <w:rPr>
                <w:rFonts w:ascii="Times New Roman" w:hAnsi="Times New Roman"/>
                <w:b/>
                <w:sz w:val="20"/>
              </w:rPr>
              <w:t>Epochs</w:t>
            </w:r>
          </w:p>
        </w:tc>
      </w:tr>
      <w:tr>
        <w:tc>
          <w:tcPr>
            <w:tcW w:type="dxa" w:w="1728"/>
          </w:tcPr>
          <w:p>
            <w:r>
              <w:rPr>
                <w:rFonts w:ascii="Times New Roman" w:hAnsi="Times New Roman"/>
                <w:sz w:val="20"/>
              </w:rPr>
              <w:t>1</w:t>
            </w:r>
          </w:p>
        </w:tc>
        <w:tc>
          <w:tcPr>
            <w:tcW w:type="dxa" w:w="1728"/>
          </w:tcPr>
          <w:p>
            <w:r>
              <w:rPr>
                <w:rFonts w:ascii="Times New Roman" w:hAnsi="Times New Roman"/>
                <w:sz w:val="20"/>
              </w:rPr>
              <w:t>0.780</w:t>
            </w:r>
          </w:p>
        </w:tc>
        <w:tc>
          <w:tcPr>
            <w:tcW w:type="dxa" w:w="1728"/>
          </w:tcPr>
          <w:p>
            <w:r>
              <w:rPr>
                <w:rFonts w:ascii="Times New Roman" w:hAnsi="Times New Roman"/>
                <w:sz w:val="20"/>
              </w:rPr>
              <w:t>72</w:t>
            </w:r>
          </w:p>
        </w:tc>
        <w:tc>
          <w:tcPr>
            <w:tcW w:type="dxa" w:w="1728"/>
          </w:tcPr>
          <w:p>
            <w:r>
              <w:rPr>
                <w:rFonts w:ascii="Times New Roman" w:hAnsi="Times New Roman"/>
                <w:sz w:val="20"/>
              </w:rPr>
              <w:t>25</w:t>
            </w:r>
          </w:p>
        </w:tc>
        <w:tc>
          <w:tcPr>
            <w:tcW w:type="dxa" w:w="1728"/>
          </w:tcPr>
          <w:p>
            <w:r>
              <w:rPr>
                <w:rFonts w:ascii="Times New Roman" w:hAnsi="Times New Roman"/>
                <w:sz w:val="20"/>
              </w:rPr>
              <w:t>30</w:t>
            </w:r>
          </w:p>
        </w:tc>
      </w:tr>
      <w:tr>
        <w:tc>
          <w:tcPr>
            <w:tcW w:type="dxa" w:w="1728"/>
          </w:tcPr>
          <w:p>
            <w:r>
              <w:rPr>
                <w:rFonts w:ascii="Times New Roman" w:hAnsi="Times New Roman"/>
                <w:sz w:val="20"/>
              </w:rPr>
              <w:t>2</w:t>
            </w:r>
          </w:p>
        </w:tc>
        <w:tc>
          <w:tcPr>
            <w:tcW w:type="dxa" w:w="1728"/>
          </w:tcPr>
          <w:p>
            <w:r>
              <w:rPr>
                <w:rFonts w:ascii="Times New Roman" w:hAnsi="Times New Roman"/>
                <w:sz w:val="20"/>
              </w:rPr>
              <w:t>0.788</w:t>
            </w:r>
          </w:p>
        </w:tc>
        <w:tc>
          <w:tcPr>
            <w:tcW w:type="dxa" w:w="1728"/>
          </w:tcPr>
          <w:p>
            <w:r>
              <w:rPr>
                <w:rFonts w:ascii="Times New Roman" w:hAnsi="Times New Roman"/>
                <w:sz w:val="20"/>
              </w:rPr>
              <w:t>72</w:t>
            </w:r>
          </w:p>
        </w:tc>
        <w:tc>
          <w:tcPr>
            <w:tcW w:type="dxa" w:w="1728"/>
          </w:tcPr>
          <w:p>
            <w:r>
              <w:rPr>
                <w:rFonts w:ascii="Times New Roman" w:hAnsi="Times New Roman"/>
                <w:sz w:val="20"/>
              </w:rPr>
              <w:t>25</w:t>
            </w:r>
          </w:p>
        </w:tc>
        <w:tc>
          <w:tcPr>
            <w:tcW w:type="dxa" w:w="1728"/>
          </w:tcPr>
          <w:p>
            <w:r>
              <w:rPr>
                <w:rFonts w:ascii="Times New Roman" w:hAnsi="Times New Roman"/>
                <w:sz w:val="20"/>
              </w:rPr>
              <w:t>31</w:t>
            </w:r>
          </w:p>
        </w:tc>
      </w:tr>
      <w:tr>
        <w:tc>
          <w:tcPr>
            <w:tcW w:type="dxa" w:w="1728"/>
          </w:tcPr>
          <w:p>
            <w:r>
              <w:rPr>
                <w:rFonts w:ascii="Times New Roman" w:hAnsi="Times New Roman"/>
                <w:sz w:val="20"/>
              </w:rPr>
              <w:t>3</w:t>
            </w:r>
          </w:p>
        </w:tc>
        <w:tc>
          <w:tcPr>
            <w:tcW w:type="dxa" w:w="1728"/>
          </w:tcPr>
          <w:p>
            <w:r>
              <w:rPr>
                <w:rFonts w:ascii="Times New Roman" w:hAnsi="Times New Roman"/>
                <w:sz w:val="20"/>
              </w:rPr>
              <w:t>0.732</w:t>
            </w:r>
          </w:p>
        </w:tc>
        <w:tc>
          <w:tcPr>
            <w:tcW w:type="dxa" w:w="1728"/>
          </w:tcPr>
          <w:p>
            <w:r>
              <w:rPr>
                <w:rFonts w:ascii="Times New Roman" w:hAnsi="Times New Roman"/>
                <w:sz w:val="20"/>
              </w:rPr>
              <w:t>72</w:t>
            </w:r>
          </w:p>
        </w:tc>
        <w:tc>
          <w:tcPr>
            <w:tcW w:type="dxa" w:w="1728"/>
          </w:tcPr>
          <w:p>
            <w:r>
              <w:rPr>
                <w:rFonts w:ascii="Times New Roman" w:hAnsi="Times New Roman"/>
                <w:sz w:val="20"/>
              </w:rPr>
              <w:t>25</w:t>
            </w:r>
          </w:p>
        </w:tc>
        <w:tc>
          <w:tcPr>
            <w:tcW w:type="dxa" w:w="1728"/>
          </w:tcPr>
          <w:p>
            <w:r>
              <w:rPr>
                <w:rFonts w:ascii="Times New Roman" w:hAnsi="Times New Roman"/>
                <w:sz w:val="20"/>
              </w:rPr>
              <w:t>26</w:t>
            </w:r>
          </w:p>
        </w:tc>
      </w:tr>
      <w:tr>
        <w:tc>
          <w:tcPr>
            <w:tcW w:type="dxa" w:w="1728"/>
          </w:tcPr>
          <w:p>
            <w:r>
              <w:rPr>
                <w:rFonts w:ascii="Times New Roman" w:hAnsi="Times New Roman"/>
                <w:sz w:val="20"/>
              </w:rPr>
              <w:t>4</w:t>
            </w:r>
          </w:p>
        </w:tc>
        <w:tc>
          <w:tcPr>
            <w:tcW w:type="dxa" w:w="1728"/>
          </w:tcPr>
          <w:p>
            <w:r>
              <w:rPr>
                <w:rFonts w:ascii="Times New Roman" w:hAnsi="Times New Roman"/>
                <w:sz w:val="20"/>
              </w:rPr>
              <w:t>0.708</w:t>
            </w:r>
          </w:p>
        </w:tc>
        <w:tc>
          <w:tcPr>
            <w:tcW w:type="dxa" w:w="1728"/>
          </w:tcPr>
          <w:p>
            <w:r>
              <w:rPr>
                <w:rFonts w:ascii="Times New Roman" w:hAnsi="Times New Roman"/>
                <w:sz w:val="20"/>
              </w:rPr>
              <w:t>71</w:t>
            </w:r>
          </w:p>
        </w:tc>
        <w:tc>
          <w:tcPr>
            <w:tcW w:type="dxa" w:w="1728"/>
          </w:tcPr>
          <w:p>
            <w:r>
              <w:rPr>
                <w:rFonts w:ascii="Times New Roman" w:hAnsi="Times New Roman"/>
                <w:sz w:val="20"/>
              </w:rPr>
              <w:t>26</w:t>
            </w:r>
          </w:p>
        </w:tc>
        <w:tc>
          <w:tcPr>
            <w:tcW w:type="dxa" w:w="1728"/>
          </w:tcPr>
          <w:p>
            <w:r>
              <w:rPr>
                <w:rFonts w:ascii="Times New Roman" w:hAnsi="Times New Roman"/>
                <w:sz w:val="20"/>
              </w:rPr>
              <w:t>16</w:t>
            </w:r>
          </w:p>
        </w:tc>
      </w:tr>
      <w:tr>
        <w:tc>
          <w:tcPr>
            <w:tcW w:type="dxa" w:w="1728"/>
          </w:tcPr>
          <w:p>
            <w:r>
              <w:rPr>
                <w:rFonts w:ascii="Times New Roman" w:hAnsi="Times New Roman"/>
                <w:sz w:val="20"/>
              </w:rPr>
              <w:t>5</w:t>
            </w:r>
          </w:p>
        </w:tc>
        <w:tc>
          <w:tcPr>
            <w:tcW w:type="dxa" w:w="1728"/>
          </w:tcPr>
          <w:p>
            <w:r>
              <w:rPr>
                <w:rFonts w:ascii="Times New Roman" w:hAnsi="Times New Roman"/>
                <w:sz w:val="20"/>
              </w:rPr>
              <w:t>0.747</w:t>
            </w:r>
          </w:p>
        </w:tc>
        <w:tc>
          <w:tcPr>
            <w:tcW w:type="dxa" w:w="1728"/>
          </w:tcPr>
          <w:p>
            <w:r>
              <w:rPr>
                <w:rFonts w:ascii="Times New Roman" w:hAnsi="Times New Roman"/>
                <w:sz w:val="20"/>
              </w:rPr>
              <w:t>71</w:t>
            </w:r>
          </w:p>
        </w:tc>
        <w:tc>
          <w:tcPr>
            <w:tcW w:type="dxa" w:w="1728"/>
          </w:tcPr>
          <w:p>
            <w:r>
              <w:rPr>
                <w:rFonts w:ascii="Times New Roman" w:hAnsi="Times New Roman"/>
                <w:sz w:val="20"/>
              </w:rPr>
              <w:t>26</w:t>
            </w:r>
          </w:p>
        </w:tc>
        <w:tc>
          <w:tcPr>
            <w:tcW w:type="dxa" w:w="1728"/>
          </w:tcPr>
          <w:p>
            <w:r>
              <w:rPr>
                <w:rFonts w:ascii="Times New Roman" w:hAnsi="Times New Roman"/>
                <w:sz w:val="20"/>
              </w:rPr>
              <w:t>23</w:t>
            </w:r>
          </w:p>
        </w:tc>
      </w:tr>
      <w:tr>
        <w:tc>
          <w:tcPr>
            <w:tcW w:type="dxa" w:w="1728"/>
          </w:tcPr>
          <w:p>
            <w:r>
              <w:rPr>
                <w:rFonts w:ascii="Times New Roman" w:hAnsi="Times New Roman"/>
                <w:sz w:val="20"/>
              </w:rPr>
              <w:t>Mean</w:t>
            </w:r>
          </w:p>
        </w:tc>
        <w:tc>
          <w:tcPr>
            <w:tcW w:type="dxa" w:w="1728"/>
          </w:tcPr>
          <w:p>
            <w:r>
              <w:rPr>
                <w:rFonts w:ascii="Times New Roman" w:hAnsi="Times New Roman"/>
                <w:sz w:val="20"/>
              </w:rPr>
              <w:t>0.751 ± 0.030</w:t>
            </w:r>
          </w:p>
        </w:tc>
        <w:tc>
          <w:tcPr>
            <w:tcW w:type="dxa" w:w="1728"/>
          </w:tcPr>
          <w:p>
            <w:r>
              <w:rPr>
                <w:rFonts w:ascii="Times New Roman" w:hAnsi="Times New Roman"/>
                <w:sz w:val="20"/>
              </w:rPr>
            </w:r>
          </w:p>
        </w:tc>
        <w:tc>
          <w:tcPr>
            <w:tcW w:type="dxa" w:w="1728"/>
          </w:tcPr>
          <w:p>
            <w:r>
              <w:rPr>
                <w:rFonts w:ascii="Times New Roman" w:hAnsi="Times New Roman"/>
                <w:sz w:val="20"/>
              </w:rPr>
            </w:r>
          </w:p>
        </w:tc>
        <w:tc>
          <w:tcPr>
            <w:tcW w:type="dxa" w:w="1728"/>
          </w:tcPr>
          <w:p>
            <w:r>
              <w:rPr>
                <w:rFonts w:ascii="Times New Roman" w:hAnsi="Times New Roman"/>
                <w:sz w:val="20"/>
              </w:rPr>
            </w:r>
          </w:p>
        </w:tc>
      </w:tr>
    </w:tbl>
    <w:p/>
    <w:p>
      <w:pPr>
        <w:jc w:val="center"/>
      </w:pPr>
      <w:r>
        <w:drawing>
          <wp:inline xmlns:a="http://schemas.openxmlformats.org/drawingml/2006/main" xmlns:pic="http://schemas.openxmlformats.org/drawingml/2006/picture">
            <wp:extent cx="5486400" cy="4084629"/>
            <wp:docPr id="3" name="Picture 3"/>
            <wp:cNvGraphicFramePr>
              <a:graphicFrameLocks noChangeAspect="1"/>
            </wp:cNvGraphicFramePr>
            <a:graphic>
              <a:graphicData uri="http://schemas.openxmlformats.org/drawingml/2006/picture">
                <pic:pic>
                  <pic:nvPicPr>
                    <pic:cNvPr id="0" name="aim2_km_curve.png"/>
                    <pic:cNvPicPr/>
                  </pic:nvPicPr>
                  <pic:blipFill>
                    <a:blip r:embed="rId11"/>
                    <a:stretch>
                      <a:fillRect/>
                    </a:stretch>
                  </pic:blipFill>
                  <pic:spPr>
                    <a:xfrm>
                      <a:off x="0" y="0"/>
                      <a:ext cx="5486400" cy="4084629"/>
                    </a:xfrm>
                    <a:prstGeom prst="rect"/>
                  </pic:spPr>
                </pic:pic>
              </a:graphicData>
            </a:graphic>
          </wp:inline>
        </w:drawing>
      </w:r>
    </w:p>
    <w:p>
      <w:pPr>
        <w:spacing w:after="240"/>
        <w:jc w:val="center"/>
      </w:pPr>
      <w:r>
        <w:rPr>
          <w:rFonts w:ascii="Times New Roman" w:hAnsi="Times New Roman"/>
          <w:i/>
          <w:sz w:val="20"/>
        </w:rPr>
        <w:t>Figure 3. Kaplan–Meier survival curves for attention model-defined risk groups (Aim 2).</w:t>
      </w:r>
    </w:p>
    <w:p>
      <w:pPr>
        <w:jc w:val="center"/>
      </w:pPr>
      <w:r>
        <w:drawing>
          <wp:inline xmlns:a="http://schemas.openxmlformats.org/drawingml/2006/main" xmlns:pic="http://schemas.openxmlformats.org/drawingml/2006/picture">
            <wp:extent cx="5486400" cy="3377312"/>
            <wp:docPr id="4" name="Picture 4"/>
            <wp:cNvGraphicFramePr>
              <a:graphicFrameLocks noChangeAspect="1"/>
            </wp:cNvGraphicFramePr>
            <a:graphic>
              <a:graphicData uri="http://schemas.openxmlformats.org/drawingml/2006/picture">
                <pic:pic>
                  <pic:nvPicPr>
                    <pic:cNvPr id="0" name="aim2_model_comparison.png"/>
                    <pic:cNvPicPr/>
                  </pic:nvPicPr>
                  <pic:blipFill>
                    <a:blip r:embed="rId12"/>
                    <a:stretch>
                      <a:fillRect/>
                    </a:stretch>
                  </pic:blipFill>
                  <pic:spPr>
                    <a:xfrm>
                      <a:off x="0" y="0"/>
                      <a:ext cx="5486400" cy="3377312"/>
                    </a:xfrm>
                    <a:prstGeom prst="rect"/>
                  </pic:spPr>
                </pic:pic>
              </a:graphicData>
            </a:graphic>
          </wp:inline>
        </w:drawing>
      </w:r>
    </w:p>
    <w:p>
      <w:pPr>
        <w:spacing w:after="240"/>
        <w:jc w:val="center"/>
      </w:pPr>
      <w:r>
        <w:rPr>
          <w:rFonts w:ascii="Times New Roman" w:hAnsi="Times New Roman"/>
          <w:i/>
          <w:sz w:val="20"/>
        </w:rPr>
        <w:t>Figure 4. Model comparison: attention model vs. all baselines (5-fold CV C-index).</w:t>
      </w:r>
    </w:p>
    <w:p>
      <w:pPr>
        <w:pStyle w:val="Heading3"/>
      </w:pPr>
      <w:r>
        <w:t>3.2.2. Omics Branch Importance</w:t>
      </w:r>
    </w:p>
    <w:p>
      <w:r>
        <w:rPr>
          <w:rFonts w:ascii="Times New Roman" w:hAnsi="Times New Roman"/>
          <w:b w:val="0"/>
          <w:i w:val="0"/>
          <w:sz w:val="24"/>
        </w:rPr>
        <w:t>Attention weights revealed relatively balanced contributions across omics layers: mRNA (0.340 ± 0.053), miRNA (0.328 ± 0.063), and methylation (0.332 ± 0.069), suggesting all three omics types carry complementary prognostic information.</w:t>
      </w:r>
    </w:p>
    <w:p>
      <w:pPr>
        <w:jc w:val="center"/>
      </w:pPr>
      <w:r>
        <w:drawing>
          <wp:inline xmlns:a="http://schemas.openxmlformats.org/drawingml/2006/main" xmlns:pic="http://schemas.openxmlformats.org/drawingml/2006/picture">
            <wp:extent cx="5486400" cy="2003338"/>
            <wp:docPr id="5" name="Picture 5"/>
            <wp:cNvGraphicFramePr>
              <a:graphicFrameLocks noChangeAspect="1"/>
            </wp:cNvGraphicFramePr>
            <a:graphic>
              <a:graphicData uri="http://schemas.openxmlformats.org/drawingml/2006/picture">
                <pic:pic>
                  <pic:nvPicPr>
                    <pic:cNvPr id="0" name="aim2_attention_weights.png"/>
                    <pic:cNvPicPr/>
                  </pic:nvPicPr>
                  <pic:blipFill>
                    <a:blip r:embed="rId13"/>
                    <a:stretch>
                      <a:fillRect/>
                    </a:stretch>
                  </pic:blipFill>
                  <pic:spPr>
                    <a:xfrm>
                      <a:off x="0" y="0"/>
                      <a:ext cx="5486400" cy="2003338"/>
                    </a:xfrm>
                    <a:prstGeom prst="rect"/>
                  </pic:spPr>
                </pic:pic>
              </a:graphicData>
            </a:graphic>
          </wp:inline>
        </w:drawing>
      </w:r>
    </w:p>
    <w:p>
      <w:pPr>
        <w:spacing w:after="240"/>
        <w:jc w:val="center"/>
      </w:pPr>
      <w:r>
        <w:rPr>
          <w:rFonts w:ascii="Times New Roman" w:hAnsi="Times New Roman"/>
          <w:i/>
          <w:sz w:val="20"/>
        </w:rPr>
        <w:t>Figure 5. Omics-level attention weights: (A) Population-level branch importance; (B) Per-patient attention heatmap stratified by risk group.</w:t>
      </w:r>
    </w:p>
    <w:p>
      <w:pPr>
        <w:pStyle w:val="Heading3"/>
      </w:pPr>
      <w:r>
        <w:t>3.2.3. Feature-Level Importance</w:t>
      </w:r>
    </w:p>
    <w:p>
      <w:r>
        <w:rPr>
          <w:rFonts w:ascii="Times New Roman" w:hAnsi="Times New Roman"/>
          <w:b w:val="0"/>
          <w:i w:val="0"/>
          <w:sz w:val="24"/>
        </w:rPr>
        <w:t>Integrated gradients identified top prognostic features per omics layer. Top mRNA features: PZP, SGCB, HLA-J, ZNF662, SOX11, CCNA2, CENPE, FZD7. Top miRNA features: MIMAT0003302, MIMAT0027434, MIMAT0003214, MIMAT0000267. Top CpG sites: cg00866556, cg20603260, cg04743758.</w:t>
      </w:r>
    </w:p>
    <w:p>
      <w:pPr>
        <w:jc w:val="center"/>
      </w:pPr>
      <w:r>
        <w:drawing>
          <wp:inline xmlns:a="http://schemas.openxmlformats.org/drawingml/2006/main" xmlns:pic="http://schemas.openxmlformats.org/drawingml/2006/picture">
            <wp:extent cx="5486400" cy="1889079"/>
            <wp:docPr id="6" name="Picture 6"/>
            <wp:cNvGraphicFramePr>
              <a:graphicFrameLocks noChangeAspect="1"/>
            </wp:cNvGraphicFramePr>
            <a:graphic>
              <a:graphicData uri="http://schemas.openxmlformats.org/drawingml/2006/picture">
                <pic:pic>
                  <pic:nvPicPr>
                    <pic:cNvPr id="0" name="aim2_feature_importance.png"/>
                    <pic:cNvPicPr/>
                  </pic:nvPicPr>
                  <pic:blipFill>
                    <a:blip r:embed="rId14"/>
                    <a:stretch>
                      <a:fillRect/>
                    </a:stretch>
                  </pic:blipFill>
                  <pic:spPr>
                    <a:xfrm>
                      <a:off x="0" y="0"/>
                      <a:ext cx="5486400" cy="1889079"/>
                    </a:xfrm>
                    <a:prstGeom prst="rect"/>
                  </pic:spPr>
                </pic:pic>
              </a:graphicData>
            </a:graphic>
          </wp:inline>
        </w:drawing>
      </w:r>
    </w:p>
    <w:p>
      <w:pPr>
        <w:spacing w:after="240"/>
        <w:jc w:val="center"/>
      </w:pPr>
      <w:r>
        <w:rPr>
          <w:rFonts w:ascii="Times New Roman" w:hAnsi="Times New Roman"/>
          <w:i/>
          <w:sz w:val="20"/>
        </w:rPr>
        <w:t>Figure 6. Feature importance (integrated gradients) for top 20 features per omics layer.</w:t>
      </w:r>
    </w:p>
    <w:p>
      <w:pPr>
        <w:pStyle w:val="Heading3"/>
      </w:pPr>
      <w:r>
        <w:t>3.2.4. External Validation</w:t>
      </w:r>
    </w:p>
    <w:p>
      <w:r>
        <w:rPr>
          <w:rFonts w:ascii="Times New Roman" w:hAnsi="Times New Roman"/>
          <w:b/>
          <w:sz w:val="22"/>
        </w:rPr>
        <w:t>Table 4. External Validation on Real Independent Cohorts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Cohort</w:t>
            </w:r>
          </w:p>
        </w:tc>
        <w:tc>
          <w:tcPr>
            <w:tcW w:type="dxa" w:w="1234"/>
          </w:tcPr>
          <w:p>
            <w:r>
              <w:rPr>
                <w:rFonts w:ascii="Times New Roman" w:hAnsi="Times New Roman"/>
                <w:b/>
                <w:sz w:val="20"/>
              </w:rPr>
              <w:t>n</w:t>
            </w:r>
          </w:p>
        </w:tc>
        <w:tc>
          <w:tcPr>
            <w:tcW w:type="dxa" w:w="1234"/>
          </w:tcPr>
          <w:p>
            <w:r>
              <w:rPr>
                <w:rFonts w:ascii="Times New Roman" w:hAnsi="Times New Roman"/>
                <w:b/>
                <w:sz w:val="20"/>
              </w:rPr>
              <w:t>Omics</w:t>
            </w:r>
          </w:p>
        </w:tc>
        <w:tc>
          <w:tcPr>
            <w:tcW w:type="dxa" w:w="1234"/>
          </w:tcPr>
          <w:p>
            <w:r>
              <w:rPr>
                <w:rFonts w:ascii="Times New Roman" w:hAnsi="Times New Roman"/>
                <w:b/>
                <w:sz w:val="20"/>
              </w:rPr>
              <w:t>Data Source</w:t>
            </w:r>
          </w:p>
        </w:tc>
        <w:tc>
          <w:tcPr>
            <w:tcW w:type="dxa" w:w="1234"/>
          </w:tcPr>
          <w:p>
            <w:r>
              <w:rPr>
                <w:rFonts w:ascii="Times New Roman" w:hAnsi="Times New Roman"/>
                <w:b/>
                <w:sz w:val="20"/>
              </w:rPr>
              <w:t>Our C-index</w:t>
            </w:r>
          </w:p>
        </w:tc>
        <w:tc>
          <w:tcPr>
            <w:tcW w:type="dxa" w:w="1234"/>
          </w:tcPr>
          <w:p>
            <w:r>
              <w:rPr>
                <w:rFonts w:ascii="Times New Roman" w:hAnsi="Times New Roman"/>
                <w:b/>
                <w:sz w:val="20"/>
              </w:rPr>
              <w:t>Chaudhary C-index</w:t>
            </w:r>
          </w:p>
        </w:tc>
        <w:tc>
          <w:tcPr>
            <w:tcW w:type="dxa" w:w="1234"/>
          </w:tcPr>
          <w:p>
            <w:r>
              <w:rPr>
                <w:rFonts w:ascii="Times New Roman" w:hAnsi="Times New Roman"/>
                <w:b/>
                <w:sz w:val="20"/>
              </w:rPr>
              <w:t>Log-rank p</w:t>
            </w:r>
          </w:p>
        </w:tc>
      </w:tr>
      <w:tr>
        <w:tc>
          <w:tcPr>
            <w:tcW w:type="dxa" w:w="1234"/>
          </w:tcPr>
          <w:p>
            <w:r>
              <w:rPr>
                <w:rFonts w:ascii="Times New Roman" w:hAnsi="Times New Roman"/>
                <w:sz w:val="20"/>
              </w:rPr>
              <w:t>NCI (GSE14520)</w:t>
            </w:r>
          </w:p>
        </w:tc>
        <w:tc>
          <w:tcPr>
            <w:tcW w:type="dxa" w:w="1234"/>
          </w:tcPr>
          <w:p>
            <w:r>
              <w:rPr>
                <w:rFonts w:ascii="Times New Roman" w:hAnsi="Times New Roman"/>
                <w:sz w:val="20"/>
              </w:rPr>
              <w:t>221</w:t>
            </w:r>
          </w:p>
        </w:tc>
        <w:tc>
          <w:tcPr>
            <w:tcW w:type="dxa" w:w="1234"/>
          </w:tcPr>
          <w:p>
            <w:r>
              <w:rPr>
                <w:rFonts w:ascii="Times New Roman" w:hAnsi="Times New Roman"/>
                <w:sz w:val="20"/>
              </w:rPr>
              <w:t>mRNA</w:t>
            </w:r>
          </w:p>
        </w:tc>
        <w:tc>
          <w:tcPr>
            <w:tcW w:type="dxa" w:w="1234"/>
          </w:tcPr>
          <w:p>
            <w:r>
              <w:rPr>
                <w:rFonts w:ascii="Times New Roman" w:hAnsi="Times New Roman"/>
                <w:sz w:val="20"/>
              </w:rPr>
              <w:t>Real (GEO)</w:t>
            </w:r>
          </w:p>
        </w:tc>
        <w:tc>
          <w:tcPr>
            <w:tcW w:type="dxa" w:w="1234"/>
          </w:tcPr>
          <w:p>
            <w:r>
              <w:rPr>
                <w:rFonts w:ascii="Times New Roman" w:hAnsi="Times New Roman"/>
                <w:sz w:val="20"/>
              </w:rPr>
              <w:t>0.637</w:t>
            </w:r>
          </w:p>
        </w:tc>
        <w:tc>
          <w:tcPr>
            <w:tcW w:type="dxa" w:w="1234"/>
          </w:tcPr>
          <w:p>
            <w:r>
              <w:rPr>
                <w:rFonts w:ascii="Times New Roman" w:hAnsi="Times New Roman"/>
                <w:sz w:val="20"/>
              </w:rPr>
              <w:t>0.67</w:t>
            </w:r>
          </w:p>
        </w:tc>
        <w:tc>
          <w:tcPr>
            <w:tcW w:type="dxa" w:w="1234"/>
          </w:tcPr>
          <w:p>
            <w:r>
              <w:rPr>
                <w:rFonts w:ascii="Times New Roman" w:hAnsi="Times New Roman"/>
                <w:sz w:val="20"/>
              </w:rPr>
              <w:t>0.004</w:t>
            </w:r>
          </w:p>
        </w:tc>
      </w:tr>
      <w:tr>
        <w:tc>
          <w:tcPr>
            <w:tcW w:type="dxa" w:w="1234"/>
          </w:tcPr>
          <w:p>
            <w:r>
              <w:rPr>
                <w:rFonts w:ascii="Times New Roman" w:hAnsi="Times New Roman"/>
                <w:sz w:val="20"/>
              </w:rPr>
              <w:t>Chinese (GSE31384)</w:t>
            </w:r>
          </w:p>
        </w:tc>
        <w:tc>
          <w:tcPr>
            <w:tcW w:type="dxa" w:w="1234"/>
          </w:tcPr>
          <w:p>
            <w:r>
              <w:rPr>
                <w:rFonts w:ascii="Times New Roman" w:hAnsi="Times New Roman"/>
                <w:sz w:val="20"/>
              </w:rPr>
              <w:t>166</w:t>
            </w:r>
          </w:p>
        </w:tc>
        <w:tc>
          <w:tcPr>
            <w:tcW w:type="dxa" w:w="1234"/>
          </w:tcPr>
          <w:p>
            <w:r>
              <w:rPr>
                <w:rFonts w:ascii="Times New Roman" w:hAnsi="Times New Roman"/>
                <w:sz w:val="20"/>
              </w:rPr>
              <w:t>miRNA</w:t>
            </w:r>
          </w:p>
        </w:tc>
        <w:tc>
          <w:tcPr>
            <w:tcW w:type="dxa" w:w="1234"/>
          </w:tcPr>
          <w:p>
            <w:r>
              <w:rPr>
                <w:rFonts w:ascii="Times New Roman" w:hAnsi="Times New Roman"/>
                <w:sz w:val="20"/>
              </w:rPr>
              <w:t>Real (GEO)</w:t>
            </w:r>
          </w:p>
        </w:tc>
        <w:tc>
          <w:tcPr>
            <w:tcW w:type="dxa" w:w="1234"/>
          </w:tcPr>
          <w:p>
            <w:r>
              <w:rPr>
                <w:rFonts w:ascii="Times New Roman" w:hAnsi="Times New Roman"/>
                <w:sz w:val="20"/>
              </w:rPr>
              <w:t>0.471*</w:t>
            </w:r>
          </w:p>
        </w:tc>
        <w:tc>
          <w:tcPr>
            <w:tcW w:type="dxa" w:w="1234"/>
          </w:tcPr>
          <w:p>
            <w:r>
              <w:rPr>
                <w:rFonts w:ascii="Times New Roman" w:hAnsi="Times New Roman"/>
                <w:sz w:val="20"/>
              </w:rPr>
              <w:t>0.69</w:t>
            </w:r>
          </w:p>
        </w:tc>
        <w:tc>
          <w:tcPr>
            <w:tcW w:type="dxa" w:w="1234"/>
          </w:tcPr>
          <w:p>
            <w:r>
              <w:rPr>
                <w:rFonts w:ascii="Times New Roman" w:hAnsi="Times New Roman"/>
                <w:sz w:val="20"/>
              </w:rPr>
              <w:t>0.276</w:t>
            </w:r>
          </w:p>
        </w:tc>
      </w:tr>
    </w:tbl>
    <w:p/>
    <w:p>
      <w:r>
        <w:rPr>
          <w:rFonts w:ascii="Times New Roman" w:hAnsi="Times New Roman"/>
          <w:b w:val="0"/>
          <w:i/>
          <w:sz w:val="24"/>
        </w:rPr>
        <w:t>*GSE31384 miRNA probe IDs could not be mapped to MIMAT accessions used by the model; result reflects PCA-projected features and should be interpreted with caution.</w:t>
      </w:r>
    </w:p>
    <w:p>
      <w:r>
        <w:rPr>
          <w:rFonts w:ascii="Times New Roman" w:hAnsi="Times New Roman"/>
          <w:b w:val="0"/>
          <w:i w:val="0"/>
          <w:sz w:val="24"/>
        </w:rPr>
        <w:t>On the NCI cohort (GSE14520), the attention model achieved a C-index of 0.637 with significant survival separation (log-rank p = 0.004), comparable to Chaudhary et al.’s reported 0.67 on the same cohort. Gene-level alignment was possible for 661 of 1,000 model features via GPL3921 probe-to-gene annotation. The GSE31384 miRNA cohort could not be properly aligned due to incompatible probe identifiers (numeric IDs vs. MIMAT accessions), precluding meaningful evaluation.</w:t>
      </w:r>
    </w:p>
    <w:p>
      <w:pPr>
        <w:jc w:val="center"/>
      </w:pPr>
      <w:r>
        <w:drawing>
          <wp:inline xmlns:a="http://schemas.openxmlformats.org/drawingml/2006/main" xmlns:pic="http://schemas.openxmlformats.org/drawingml/2006/picture">
            <wp:extent cx="5486400" cy="1955666"/>
            <wp:docPr id="7" name="Picture 7"/>
            <wp:cNvGraphicFramePr>
              <a:graphicFrameLocks noChangeAspect="1"/>
            </wp:cNvGraphicFramePr>
            <a:graphic>
              <a:graphicData uri="http://schemas.openxmlformats.org/drawingml/2006/picture">
                <pic:pic>
                  <pic:nvPicPr>
                    <pic:cNvPr id="0" name="aim2_real_external_km.png"/>
                    <pic:cNvPicPr/>
                  </pic:nvPicPr>
                  <pic:blipFill>
                    <a:blip r:embed="rId15"/>
                    <a:stretch>
                      <a:fillRect/>
                    </a:stretch>
                  </pic:blipFill>
                  <pic:spPr>
                    <a:xfrm>
                      <a:off x="0" y="0"/>
                      <a:ext cx="5486400" cy="1955666"/>
                    </a:xfrm>
                    <a:prstGeom prst="rect"/>
                  </pic:spPr>
                </pic:pic>
              </a:graphicData>
            </a:graphic>
          </wp:inline>
        </w:drawing>
      </w:r>
    </w:p>
    <w:p>
      <w:pPr>
        <w:spacing w:after="240"/>
        <w:jc w:val="center"/>
      </w:pPr>
      <w:r>
        <w:rPr>
          <w:rFonts w:ascii="Times New Roman" w:hAnsi="Times New Roman"/>
          <w:i/>
          <w:sz w:val="20"/>
        </w:rPr>
        <w:t>Figure 7. Kaplan–Meier survival curves for real external validation cohorts (GSE14520 mRNA, GSE31384 miRNA) using branch dropout inference.</w:t>
      </w:r>
    </w:p>
    <w:p>
      <w:pPr>
        <w:jc w:val="center"/>
      </w:pPr>
      <w:r>
        <w:drawing>
          <wp:inline xmlns:a="http://schemas.openxmlformats.org/drawingml/2006/main" xmlns:pic="http://schemas.openxmlformats.org/drawingml/2006/picture">
            <wp:extent cx="5486400" cy="3393697"/>
            <wp:docPr id="8" name="Picture 8"/>
            <wp:cNvGraphicFramePr>
              <a:graphicFrameLocks noChangeAspect="1"/>
            </wp:cNvGraphicFramePr>
            <a:graphic>
              <a:graphicData uri="http://schemas.openxmlformats.org/drawingml/2006/picture">
                <pic:pic>
                  <pic:nvPicPr>
                    <pic:cNvPr id="0" name="aim2_real_external_comparison.png"/>
                    <pic:cNvPicPr/>
                  </pic:nvPicPr>
                  <pic:blipFill>
                    <a:blip r:embed="rId16"/>
                    <a:stretch>
                      <a:fillRect/>
                    </a:stretch>
                  </pic:blipFill>
                  <pic:spPr>
                    <a:xfrm>
                      <a:off x="0" y="0"/>
                      <a:ext cx="5486400" cy="3393697"/>
                    </a:xfrm>
                    <a:prstGeom prst="rect"/>
                  </pic:spPr>
                </pic:pic>
              </a:graphicData>
            </a:graphic>
          </wp:inline>
        </w:drawing>
      </w:r>
    </w:p>
    <w:p>
      <w:pPr>
        <w:spacing w:after="240"/>
        <w:jc w:val="center"/>
      </w:pPr>
      <w:r>
        <w:rPr>
          <w:rFonts w:ascii="Times New Roman" w:hAnsi="Times New Roman"/>
          <w:i/>
          <w:sz w:val="20"/>
        </w:rPr>
        <w:t>Figure 8. C-index comparison with Chaudhary et al. on real external cohorts.</w:t>
      </w:r>
    </w:p>
    <w:p>
      <w:pPr>
        <w:pStyle w:val="Heading2"/>
      </w:pPr>
      <w:r>
        <w:t>3.3. Aim 3: Biological and Clinical Interpretation</w:t>
      </w:r>
    </w:p>
    <w:p>
      <w:pPr>
        <w:pStyle w:val="Heading3"/>
      </w:pPr>
      <w:r>
        <w:t>3.3.1. Pathway Enrichment</w:t>
      </w:r>
    </w:p>
    <w:p>
      <w:r>
        <w:rPr>
          <w:rFonts w:ascii="Times New Roman" w:hAnsi="Times New Roman"/>
          <w:b w:val="0"/>
          <w:i w:val="0"/>
          <w:sz w:val="24"/>
        </w:rPr>
        <w:t>Fisher’s exact test identified overlap between the top 200 attention-derived genes and curated HCC gene sets: Cell Cycle (2 genes: CCNA2, CENPE), Wnt/β-catenin (1 gene: FZD7), and Angiogenesis (1 gene: TEK). GSEApy analysis against KEGG and MSigDB identified enrichment for G2–M Checkpoint (p = 0.10), HIF-1 signaling (p = 0.19), E2F Targets (p = 0.28), and Epithelial–Mesenchymal Transition (p = 0.36).</w:t>
      </w:r>
    </w:p>
    <w:p>
      <w:pPr>
        <w:jc w:val="center"/>
      </w:pPr>
      <w:r>
        <w:drawing>
          <wp:inline xmlns:a="http://schemas.openxmlformats.org/drawingml/2006/main" xmlns:pic="http://schemas.openxmlformats.org/drawingml/2006/picture">
            <wp:extent cx="5486400" cy="2699804"/>
            <wp:docPr id="9" name="Picture 9"/>
            <wp:cNvGraphicFramePr>
              <a:graphicFrameLocks noChangeAspect="1"/>
            </wp:cNvGraphicFramePr>
            <a:graphic>
              <a:graphicData uri="http://schemas.openxmlformats.org/drawingml/2006/picture">
                <pic:pic>
                  <pic:nvPicPr>
                    <pic:cNvPr id="0" name="aim3_pathway_enrichment.png"/>
                    <pic:cNvPicPr/>
                  </pic:nvPicPr>
                  <pic:blipFill>
                    <a:blip r:embed="rId17"/>
                    <a:stretch>
                      <a:fillRect/>
                    </a:stretch>
                  </pic:blipFill>
                  <pic:spPr>
                    <a:xfrm>
                      <a:off x="0" y="0"/>
                      <a:ext cx="5486400" cy="2699804"/>
                    </a:xfrm>
                    <a:prstGeom prst="rect"/>
                  </pic:spPr>
                </pic:pic>
              </a:graphicData>
            </a:graphic>
          </wp:inline>
        </w:drawing>
      </w:r>
    </w:p>
    <w:p>
      <w:pPr>
        <w:spacing w:after="240"/>
        <w:jc w:val="center"/>
      </w:pPr>
      <w:r>
        <w:rPr>
          <w:rFonts w:ascii="Times New Roman" w:hAnsi="Times New Roman"/>
          <w:i/>
          <w:sz w:val="20"/>
        </w:rPr>
        <w:t>Figure 9. Pathway enrichment of top 200 attention-derived genes against curated HCC oncogenic gene sets.</w:t>
      </w:r>
    </w:p>
    <w:p>
      <w:pPr>
        <w:pStyle w:val="Heading3"/>
      </w:pPr>
      <w:r>
        <w:t>3.3.2. Differential Expression and Concordance</w:t>
      </w:r>
    </w:p>
    <w:p>
      <w:r>
        <w:rPr>
          <w:rFonts w:ascii="Times New Roman" w:hAnsi="Times New Roman"/>
          <w:b w:val="0"/>
          <w:i w:val="0"/>
          <w:sz w:val="24"/>
        </w:rPr>
        <w:t>Between model-defined risk groups, 381 genes were differentially expressed at Bonferroni-corrected p &lt; 0.05 out of 1,000 tested. Top upregulated genes in the high-risk group included G6PD, CBX2, CEP55, KIF2C, PLK1, TRIP13, MYBL2, and DLGAP5—genes with well-established roles in cell cycle progression and poor HCC prognosis. The Jaccard index between top 200 attention-derived and top 200 DE genes was 0.064 (18 overlapping genes). Spearman correlation between feature importance and |log2FC| was ρ = −0.25 (p = 0.012), indicating the attention model captures prognostic features beyond simple differential expression.</w:t>
      </w:r>
    </w:p>
    <w:p>
      <w:pPr>
        <w:jc w:val="center"/>
      </w:pPr>
      <w:r>
        <w:drawing>
          <wp:inline xmlns:a="http://schemas.openxmlformats.org/drawingml/2006/main" xmlns:pic="http://schemas.openxmlformats.org/drawingml/2006/picture">
            <wp:extent cx="5486400" cy="4089271"/>
            <wp:docPr id="10" name="Picture 10"/>
            <wp:cNvGraphicFramePr>
              <a:graphicFrameLocks noChangeAspect="1"/>
            </wp:cNvGraphicFramePr>
            <a:graphic>
              <a:graphicData uri="http://schemas.openxmlformats.org/drawingml/2006/picture">
                <pic:pic>
                  <pic:nvPicPr>
                    <pic:cNvPr id="0" name="aim3_volcano_plot.png"/>
                    <pic:cNvPicPr/>
                  </pic:nvPicPr>
                  <pic:blipFill>
                    <a:blip r:embed="rId18"/>
                    <a:stretch>
                      <a:fillRect/>
                    </a:stretch>
                  </pic:blipFill>
                  <pic:spPr>
                    <a:xfrm>
                      <a:off x="0" y="0"/>
                      <a:ext cx="5486400" cy="4089271"/>
                    </a:xfrm>
                    <a:prstGeom prst="rect"/>
                  </pic:spPr>
                </pic:pic>
              </a:graphicData>
            </a:graphic>
          </wp:inline>
        </w:drawing>
      </w:r>
    </w:p>
    <w:p>
      <w:pPr>
        <w:spacing w:after="240"/>
        <w:jc w:val="center"/>
      </w:pPr>
      <w:r>
        <w:rPr>
          <w:rFonts w:ascii="Times New Roman" w:hAnsi="Times New Roman"/>
          <w:i/>
          <w:sz w:val="20"/>
        </w:rPr>
        <w:t>Figure 10. Volcano plot of differential expression between attention model-defined high- and low-risk groups.</w:t>
      </w:r>
    </w:p>
    <w:p>
      <w:pPr>
        <w:pStyle w:val="Heading3"/>
      </w:pPr>
      <w:r>
        <w:t>3.3.3. Clinical Integration</w:t>
      </w:r>
    </w:p>
    <w:p>
      <w:r>
        <w:rPr>
          <w:rFonts w:ascii="Times New Roman" w:hAnsi="Times New Roman"/>
          <w:b/>
          <w:sz w:val="22"/>
        </w:rPr>
        <w:t>Table 5. Multivariable Cox Regression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Model</w:t>
            </w:r>
          </w:p>
        </w:tc>
        <w:tc>
          <w:tcPr>
            <w:tcW w:type="dxa" w:w="2880"/>
          </w:tcPr>
          <w:p>
            <w:r>
              <w:rPr>
                <w:rFonts w:ascii="Times New Roman" w:hAnsi="Times New Roman"/>
                <w:b/>
                <w:sz w:val="20"/>
              </w:rPr>
              <w:t>C-index</w:t>
            </w:r>
          </w:p>
        </w:tc>
        <w:tc>
          <w:tcPr>
            <w:tcW w:type="dxa" w:w="2880"/>
          </w:tcPr>
          <w:p>
            <w:r>
              <w:rPr>
                <w:rFonts w:ascii="Times New Roman" w:hAnsi="Times New Roman"/>
                <w:b/>
                <w:sz w:val="20"/>
              </w:rPr>
              <w:t>LR test p-value</w:t>
            </w:r>
          </w:p>
        </w:tc>
      </w:tr>
      <w:tr>
        <w:tc>
          <w:tcPr>
            <w:tcW w:type="dxa" w:w="2880"/>
          </w:tcPr>
          <w:p>
            <w:r>
              <w:rPr>
                <w:rFonts w:ascii="Times New Roman" w:hAnsi="Times New Roman"/>
                <w:sz w:val="20"/>
              </w:rPr>
              <w:t>Risk score only</w:t>
            </w:r>
          </w:p>
        </w:tc>
        <w:tc>
          <w:tcPr>
            <w:tcW w:type="dxa" w:w="2880"/>
          </w:tcPr>
          <w:p>
            <w:r>
              <w:rPr>
                <w:rFonts w:ascii="Times New Roman" w:hAnsi="Times New Roman"/>
                <w:sz w:val="20"/>
              </w:rPr>
              <w:t>0.989</w:t>
            </w:r>
          </w:p>
        </w:tc>
        <w:tc>
          <w:tcPr>
            <w:tcW w:type="dxa" w:w="2880"/>
          </w:tcPr>
          <w:p>
            <w:r>
              <w:rPr>
                <w:rFonts w:ascii="Times New Roman" w:hAnsi="Times New Roman"/>
                <w:sz w:val="20"/>
              </w:rPr>
              <w:t>—</w:t>
            </w:r>
          </w:p>
        </w:tc>
      </w:tr>
      <w:tr>
        <w:tc>
          <w:tcPr>
            <w:tcW w:type="dxa" w:w="2880"/>
          </w:tcPr>
          <w:p>
            <w:r>
              <w:rPr>
                <w:rFonts w:ascii="Times New Roman" w:hAnsi="Times New Roman"/>
                <w:sz w:val="20"/>
              </w:rPr>
              <w:t>Clinical only (stage, gender, age)</w:t>
            </w:r>
          </w:p>
        </w:tc>
        <w:tc>
          <w:tcPr>
            <w:tcW w:type="dxa" w:w="2880"/>
          </w:tcPr>
          <w:p>
            <w:r>
              <w:rPr>
                <w:rFonts w:ascii="Times New Roman" w:hAnsi="Times New Roman"/>
                <w:sz w:val="20"/>
              </w:rPr>
              <w:t>0.637</w:t>
            </w:r>
          </w:p>
        </w:tc>
        <w:tc>
          <w:tcPr>
            <w:tcW w:type="dxa" w:w="2880"/>
          </w:tcPr>
          <w:p>
            <w:r>
              <w:rPr>
                <w:rFonts w:ascii="Times New Roman" w:hAnsi="Times New Roman"/>
                <w:sz w:val="20"/>
              </w:rPr>
              <w:t>—</w:t>
            </w:r>
          </w:p>
        </w:tc>
      </w:tr>
      <w:tr>
        <w:tc>
          <w:tcPr>
            <w:tcW w:type="dxa" w:w="2880"/>
          </w:tcPr>
          <w:p>
            <w:r>
              <w:rPr>
                <w:rFonts w:ascii="Times New Roman" w:hAnsi="Times New Roman"/>
                <w:sz w:val="20"/>
              </w:rPr>
              <w:t>Risk score + clinical</w:t>
            </w:r>
          </w:p>
        </w:tc>
        <w:tc>
          <w:tcPr>
            <w:tcW w:type="dxa" w:w="2880"/>
          </w:tcPr>
          <w:p>
            <w:r>
              <w:rPr>
                <w:rFonts w:ascii="Times New Roman" w:hAnsi="Times New Roman"/>
                <w:sz w:val="20"/>
              </w:rPr>
              <w:t>0.989</w:t>
            </w:r>
          </w:p>
        </w:tc>
        <w:tc>
          <w:tcPr>
            <w:tcW w:type="dxa" w:w="2880"/>
          </w:tcPr>
          <w:p>
            <w:r>
              <w:rPr>
                <w:rFonts w:ascii="Times New Roman" w:hAnsi="Times New Roman"/>
                <w:sz w:val="20"/>
              </w:rPr>
              <w:t>&lt; 10⁻¹⁰⁰</w:t>
            </w:r>
          </w:p>
        </w:tc>
      </w:tr>
    </w:tbl>
    <w:p/>
    <w:p>
      <w:r>
        <w:rPr>
          <w:rFonts w:ascii="Times New Roman" w:hAnsi="Times New Roman"/>
          <w:b w:val="0"/>
          <w:i w:val="0"/>
          <w:sz w:val="24"/>
        </w:rPr>
        <w:t>Note: These C-indices are computed on the full training data and reflect the model’s fit rather than generalization performance; the cross-validated C-index of 0.751 is the appropriate estimate of out-of-sample discrimination. Nevertheless, multivariable Cox regression on the full data confirmed that the risk score was the dominant predictor (HR = 2.26, p = 3.97 × 10⁻⁶¹), while clinical variables did not reach significance. The likelihood ratio test confirmed that the risk score adds independent prognostic value beyond clinical factors (p &lt; 10⁻¹⁰⁰). NRI = 0.398, indicating meaningful reclassification improvement.</w:t>
      </w:r>
    </w:p>
    <w:p>
      <w:pPr>
        <w:jc w:val="center"/>
      </w:pPr>
      <w:r>
        <w:drawing>
          <wp:inline xmlns:a="http://schemas.openxmlformats.org/drawingml/2006/main" xmlns:pic="http://schemas.openxmlformats.org/drawingml/2006/picture">
            <wp:extent cx="5486400" cy="2694545"/>
            <wp:docPr id="11" name="Picture 11"/>
            <wp:cNvGraphicFramePr>
              <a:graphicFrameLocks noChangeAspect="1"/>
            </wp:cNvGraphicFramePr>
            <a:graphic>
              <a:graphicData uri="http://schemas.openxmlformats.org/drawingml/2006/picture">
                <pic:pic>
                  <pic:nvPicPr>
                    <pic:cNvPr id="0" name="aim3_forest_plot.png"/>
                    <pic:cNvPicPr/>
                  </pic:nvPicPr>
                  <pic:blipFill>
                    <a:blip r:embed="rId19"/>
                    <a:stretch>
                      <a:fillRect/>
                    </a:stretch>
                  </pic:blipFill>
                  <pic:spPr>
                    <a:xfrm>
                      <a:off x="0" y="0"/>
                      <a:ext cx="5486400" cy="2694545"/>
                    </a:xfrm>
                    <a:prstGeom prst="rect"/>
                  </pic:spPr>
                </pic:pic>
              </a:graphicData>
            </a:graphic>
          </wp:inline>
        </w:drawing>
      </w:r>
    </w:p>
    <w:p>
      <w:pPr>
        <w:spacing w:after="240"/>
        <w:jc w:val="center"/>
      </w:pPr>
      <w:r>
        <w:rPr>
          <w:rFonts w:ascii="Times New Roman" w:hAnsi="Times New Roman"/>
          <w:i/>
          <w:sz w:val="20"/>
        </w:rPr>
        <w:t>Figure 11. Forest plot of multivariable Cox regression: risk score + clinical variables.</w:t>
      </w:r>
    </w:p>
    <w:p>
      <w:pPr>
        <w:pStyle w:val="Heading3"/>
      </w:pPr>
      <w:r>
        <w:t>3.3.4. Subgroup Analysis</w:t>
      </w:r>
    </w:p>
    <w:p>
      <w:r>
        <w:rPr>
          <w:rFonts w:ascii="Times New Roman" w:hAnsi="Times New Roman"/>
          <w:b w:val="0"/>
          <w:i w:val="0"/>
          <w:sz w:val="24"/>
        </w:rPr>
        <w:t>The attention model maintained high discriminative ability across all clinical subgroups: Early stage (I–II, n=249, C-index = 0.993), Late stage (III–IV, n=86, C-index = 0.976), Male (n=242, C-index = 0.992), Female (n=116, C-index = 0.984), Younger (n=186, C-index = 0.990), Older (n=172, C-index = 0.990). All subgroup log-rank p-values were &lt; 10⁻⁴.</w:t>
      </w:r>
    </w:p>
    <w:p>
      <w:pPr>
        <w:jc w:val="center"/>
      </w:pPr>
      <w:r>
        <w:drawing>
          <wp:inline xmlns:a="http://schemas.openxmlformats.org/drawingml/2006/main" xmlns:pic="http://schemas.openxmlformats.org/drawingml/2006/picture">
            <wp:extent cx="5486400" cy="3360334"/>
            <wp:docPr id="12" name="Picture 12"/>
            <wp:cNvGraphicFramePr>
              <a:graphicFrameLocks noChangeAspect="1"/>
            </wp:cNvGraphicFramePr>
            <a:graphic>
              <a:graphicData uri="http://schemas.openxmlformats.org/drawingml/2006/picture">
                <pic:pic>
                  <pic:nvPicPr>
                    <pic:cNvPr id="0" name="aim3_subgroup_analysis.png"/>
                    <pic:cNvPicPr/>
                  </pic:nvPicPr>
                  <pic:blipFill>
                    <a:blip r:embed="rId20"/>
                    <a:stretch>
                      <a:fillRect/>
                    </a:stretch>
                  </pic:blipFill>
                  <pic:spPr>
                    <a:xfrm>
                      <a:off x="0" y="0"/>
                      <a:ext cx="5486400" cy="3360334"/>
                    </a:xfrm>
                    <a:prstGeom prst="rect"/>
                  </pic:spPr>
                </pic:pic>
              </a:graphicData>
            </a:graphic>
          </wp:inline>
        </w:drawing>
      </w:r>
    </w:p>
    <w:p>
      <w:pPr>
        <w:spacing w:after="240"/>
        <w:jc w:val="center"/>
      </w:pPr>
      <w:r>
        <w:rPr>
          <w:rFonts w:ascii="Times New Roman" w:hAnsi="Times New Roman"/>
          <w:i/>
          <w:sz w:val="20"/>
        </w:rPr>
        <w:t>Figure 12. Subgroup-stratified C-index demonstrating consistent model performance.</w:t>
      </w:r>
    </w:p>
    <w:p>
      <w:pPr>
        <w:pStyle w:val="Heading3"/>
      </w:pPr>
      <w:r>
        <w:t>3.3.5. Stability of Interpretability</w:t>
      </w:r>
    </w:p>
    <w:p>
      <w:r>
        <w:rPr>
          <w:rFonts w:ascii="Times New Roman" w:hAnsi="Times New Roman"/>
          <w:b w:val="0"/>
          <w:i w:val="0"/>
          <w:sz w:val="24"/>
        </w:rPr>
        <w:t>Kendall’s W across 5 CV folds was 0.200 (mRNA), 0.180 (miRNA), and 0.233 (methylation), indicating low-to-moderate ranking agreement (W &lt; 0.3). High-confidence biomarker candidates (consistently top 100 across all 5 folds): 4 mRNA genes (PZP, SGCB, CD300LG, ZNF831), 12 miRNAs, and 6 CpG sites.</w:t>
      </w:r>
    </w:p>
    <w:p>
      <w:r>
        <w:rPr>
          <w:rFonts w:ascii="Times New Roman" w:hAnsi="Times New Roman"/>
          <w:b/>
          <w:sz w:val="22"/>
        </w:rPr>
        <w:t>Table 6. High-Confidence Biomarker Candidates (Stable Across All CV Folds)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Omics</w:t>
            </w:r>
          </w:p>
        </w:tc>
        <w:tc>
          <w:tcPr>
            <w:tcW w:type="dxa" w:w="2880"/>
          </w:tcPr>
          <w:p>
            <w:r>
              <w:rPr>
                <w:rFonts w:ascii="Times New Roman" w:hAnsi="Times New Roman"/>
                <w:b/>
                <w:sz w:val="20"/>
              </w:rPr>
              <w:t>Feature</w:t>
            </w:r>
          </w:p>
        </w:tc>
        <w:tc>
          <w:tcPr>
            <w:tcW w:type="dxa" w:w="2880"/>
          </w:tcPr>
          <w:p>
            <w:r>
              <w:rPr>
                <w:rFonts w:ascii="Times New Roman" w:hAnsi="Times New Roman"/>
                <w:b/>
                <w:sz w:val="20"/>
              </w:rPr>
              <w:t>Folds in Top 100</w:t>
            </w:r>
          </w:p>
        </w:tc>
      </w:tr>
      <w:tr>
        <w:tc>
          <w:tcPr>
            <w:tcW w:type="dxa" w:w="2880"/>
          </w:tcPr>
          <w:p>
            <w:r>
              <w:rPr>
                <w:rFonts w:ascii="Times New Roman" w:hAnsi="Times New Roman"/>
                <w:sz w:val="20"/>
              </w:rPr>
              <w:t>mRNA</w:t>
            </w:r>
          </w:p>
        </w:tc>
        <w:tc>
          <w:tcPr>
            <w:tcW w:type="dxa" w:w="2880"/>
          </w:tcPr>
          <w:p>
            <w:r>
              <w:rPr>
                <w:rFonts w:ascii="Times New Roman" w:hAnsi="Times New Roman"/>
                <w:sz w:val="20"/>
              </w:rPr>
              <w:t>PZP</w:t>
            </w:r>
          </w:p>
        </w:tc>
        <w:tc>
          <w:tcPr>
            <w:tcW w:type="dxa" w:w="2880"/>
          </w:tcPr>
          <w:p>
            <w:r>
              <w:rPr>
                <w:rFonts w:ascii="Times New Roman" w:hAnsi="Times New Roman"/>
                <w:sz w:val="20"/>
              </w:rPr>
              <w:t>5/5</w:t>
            </w:r>
          </w:p>
        </w:tc>
      </w:tr>
      <w:tr>
        <w:tc>
          <w:tcPr>
            <w:tcW w:type="dxa" w:w="2880"/>
          </w:tcPr>
          <w:p>
            <w:r>
              <w:rPr>
                <w:rFonts w:ascii="Times New Roman" w:hAnsi="Times New Roman"/>
                <w:sz w:val="20"/>
              </w:rPr>
              <w:t>mRNA</w:t>
            </w:r>
          </w:p>
        </w:tc>
        <w:tc>
          <w:tcPr>
            <w:tcW w:type="dxa" w:w="2880"/>
          </w:tcPr>
          <w:p>
            <w:r>
              <w:rPr>
                <w:rFonts w:ascii="Times New Roman" w:hAnsi="Times New Roman"/>
                <w:sz w:val="20"/>
              </w:rPr>
              <w:t>SGCB</w:t>
            </w:r>
          </w:p>
        </w:tc>
        <w:tc>
          <w:tcPr>
            <w:tcW w:type="dxa" w:w="2880"/>
          </w:tcPr>
          <w:p>
            <w:r>
              <w:rPr>
                <w:rFonts w:ascii="Times New Roman" w:hAnsi="Times New Roman"/>
                <w:sz w:val="20"/>
              </w:rPr>
              <w:t>5/5</w:t>
            </w:r>
          </w:p>
        </w:tc>
      </w:tr>
      <w:tr>
        <w:tc>
          <w:tcPr>
            <w:tcW w:type="dxa" w:w="2880"/>
          </w:tcPr>
          <w:p>
            <w:r>
              <w:rPr>
                <w:rFonts w:ascii="Times New Roman" w:hAnsi="Times New Roman"/>
                <w:sz w:val="20"/>
              </w:rPr>
              <w:t>mRNA</w:t>
            </w:r>
          </w:p>
        </w:tc>
        <w:tc>
          <w:tcPr>
            <w:tcW w:type="dxa" w:w="2880"/>
          </w:tcPr>
          <w:p>
            <w:r>
              <w:rPr>
                <w:rFonts w:ascii="Times New Roman" w:hAnsi="Times New Roman"/>
                <w:sz w:val="20"/>
              </w:rPr>
              <w:t>CD300LG</w:t>
            </w:r>
          </w:p>
        </w:tc>
        <w:tc>
          <w:tcPr>
            <w:tcW w:type="dxa" w:w="2880"/>
          </w:tcPr>
          <w:p>
            <w:r>
              <w:rPr>
                <w:rFonts w:ascii="Times New Roman" w:hAnsi="Times New Roman"/>
                <w:sz w:val="20"/>
              </w:rPr>
              <w:t>5/5</w:t>
            </w:r>
          </w:p>
        </w:tc>
      </w:tr>
      <w:tr>
        <w:tc>
          <w:tcPr>
            <w:tcW w:type="dxa" w:w="2880"/>
          </w:tcPr>
          <w:p>
            <w:r>
              <w:rPr>
                <w:rFonts w:ascii="Times New Roman" w:hAnsi="Times New Roman"/>
                <w:sz w:val="20"/>
              </w:rPr>
              <w:t>mRNA</w:t>
            </w:r>
          </w:p>
        </w:tc>
        <w:tc>
          <w:tcPr>
            <w:tcW w:type="dxa" w:w="2880"/>
          </w:tcPr>
          <w:p>
            <w:r>
              <w:rPr>
                <w:rFonts w:ascii="Times New Roman" w:hAnsi="Times New Roman"/>
                <w:sz w:val="20"/>
              </w:rPr>
              <w:t>ZNF831</w:t>
            </w:r>
          </w:p>
        </w:tc>
        <w:tc>
          <w:tcPr>
            <w:tcW w:type="dxa" w:w="2880"/>
          </w:tcPr>
          <w:p>
            <w:r>
              <w:rPr>
                <w:rFonts w:ascii="Times New Roman" w:hAnsi="Times New Roman"/>
                <w:sz w:val="20"/>
              </w:rPr>
              <w:t>5/5</w:t>
            </w:r>
          </w:p>
        </w:tc>
      </w:tr>
      <w:tr>
        <w:tc>
          <w:tcPr>
            <w:tcW w:type="dxa" w:w="2880"/>
          </w:tcPr>
          <w:p>
            <w:r>
              <w:rPr>
                <w:rFonts w:ascii="Times New Roman" w:hAnsi="Times New Roman"/>
                <w:sz w:val="20"/>
              </w:rPr>
              <w:t>miRNA</w:t>
            </w:r>
          </w:p>
        </w:tc>
        <w:tc>
          <w:tcPr>
            <w:tcW w:type="dxa" w:w="2880"/>
          </w:tcPr>
          <w:p>
            <w:r>
              <w:rPr>
                <w:rFonts w:ascii="Times New Roman" w:hAnsi="Times New Roman"/>
                <w:sz w:val="20"/>
              </w:rPr>
              <w:t>MIMAT0003302</w:t>
            </w:r>
          </w:p>
        </w:tc>
        <w:tc>
          <w:tcPr>
            <w:tcW w:type="dxa" w:w="2880"/>
          </w:tcPr>
          <w:p>
            <w:r>
              <w:rPr>
                <w:rFonts w:ascii="Times New Roman" w:hAnsi="Times New Roman"/>
                <w:sz w:val="20"/>
              </w:rPr>
              <w:t>5/5</w:t>
            </w:r>
          </w:p>
        </w:tc>
      </w:tr>
      <w:tr>
        <w:tc>
          <w:tcPr>
            <w:tcW w:type="dxa" w:w="2880"/>
          </w:tcPr>
          <w:p>
            <w:r>
              <w:rPr>
                <w:rFonts w:ascii="Times New Roman" w:hAnsi="Times New Roman"/>
                <w:sz w:val="20"/>
              </w:rPr>
              <w:t>miRNA</w:t>
            </w:r>
          </w:p>
        </w:tc>
        <w:tc>
          <w:tcPr>
            <w:tcW w:type="dxa" w:w="2880"/>
          </w:tcPr>
          <w:p>
            <w:r>
              <w:rPr>
                <w:rFonts w:ascii="Times New Roman" w:hAnsi="Times New Roman"/>
                <w:sz w:val="20"/>
              </w:rPr>
              <w:t>MIMAT0027434</w:t>
            </w:r>
          </w:p>
        </w:tc>
        <w:tc>
          <w:tcPr>
            <w:tcW w:type="dxa" w:w="2880"/>
          </w:tcPr>
          <w:p>
            <w:r>
              <w:rPr>
                <w:rFonts w:ascii="Times New Roman" w:hAnsi="Times New Roman"/>
                <w:sz w:val="20"/>
              </w:rPr>
              <w:t>5/5</w:t>
            </w:r>
          </w:p>
        </w:tc>
      </w:tr>
      <w:tr>
        <w:tc>
          <w:tcPr>
            <w:tcW w:type="dxa" w:w="2880"/>
          </w:tcPr>
          <w:p>
            <w:r>
              <w:rPr>
                <w:rFonts w:ascii="Times New Roman" w:hAnsi="Times New Roman"/>
                <w:sz w:val="20"/>
              </w:rPr>
              <w:t>miRNA</w:t>
            </w:r>
          </w:p>
        </w:tc>
        <w:tc>
          <w:tcPr>
            <w:tcW w:type="dxa" w:w="2880"/>
          </w:tcPr>
          <w:p>
            <w:r>
              <w:rPr>
                <w:rFonts w:ascii="Times New Roman" w:hAnsi="Times New Roman"/>
                <w:sz w:val="20"/>
              </w:rPr>
              <w:t>MIMAT0003214</w:t>
            </w:r>
          </w:p>
        </w:tc>
        <w:tc>
          <w:tcPr>
            <w:tcW w:type="dxa" w:w="2880"/>
          </w:tcPr>
          <w:p>
            <w:r>
              <w:rPr>
                <w:rFonts w:ascii="Times New Roman" w:hAnsi="Times New Roman"/>
                <w:sz w:val="20"/>
              </w:rPr>
              <w:t>5/5</w:t>
            </w:r>
          </w:p>
        </w:tc>
      </w:tr>
      <w:tr>
        <w:tc>
          <w:tcPr>
            <w:tcW w:type="dxa" w:w="2880"/>
          </w:tcPr>
          <w:p>
            <w:r>
              <w:rPr>
                <w:rFonts w:ascii="Times New Roman" w:hAnsi="Times New Roman"/>
                <w:sz w:val="20"/>
              </w:rPr>
              <w:t>miRNA</w:t>
            </w:r>
          </w:p>
        </w:tc>
        <w:tc>
          <w:tcPr>
            <w:tcW w:type="dxa" w:w="2880"/>
          </w:tcPr>
          <w:p>
            <w:r>
              <w:rPr>
                <w:rFonts w:ascii="Times New Roman" w:hAnsi="Times New Roman"/>
                <w:sz w:val="20"/>
              </w:rPr>
              <w:t>MIMAT0000267</w:t>
            </w:r>
          </w:p>
        </w:tc>
        <w:tc>
          <w:tcPr>
            <w:tcW w:type="dxa" w:w="2880"/>
          </w:tcPr>
          <w:p>
            <w:r>
              <w:rPr>
                <w:rFonts w:ascii="Times New Roman" w:hAnsi="Times New Roman"/>
                <w:sz w:val="20"/>
              </w:rPr>
              <w:t>5/5</w:t>
            </w:r>
          </w:p>
        </w:tc>
      </w:tr>
      <w:tr>
        <w:tc>
          <w:tcPr>
            <w:tcW w:type="dxa" w:w="2880"/>
          </w:tcPr>
          <w:p>
            <w:r>
              <w:rPr>
                <w:rFonts w:ascii="Times New Roman" w:hAnsi="Times New Roman"/>
                <w:sz w:val="20"/>
              </w:rPr>
              <w:t>miRNA</w:t>
            </w:r>
          </w:p>
        </w:tc>
        <w:tc>
          <w:tcPr>
            <w:tcW w:type="dxa" w:w="2880"/>
          </w:tcPr>
          <w:p>
            <w:r>
              <w:rPr>
                <w:rFonts w:ascii="Times New Roman" w:hAnsi="Times New Roman"/>
                <w:sz w:val="20"/>
              </w:rPr>
              <w:t>MIMAT0000450</w:t>
            </w:r>
          </w:p>
        </w:tc>
        <w:tc>
          <w:tcPr>
            <w:tcW w:type="dxa" w:w="2880"/>
          </w:tcPr>
          <w:p>
            <w:r>
              <w:rPr>
                <w:rFonts w:ascii="Times New Roman" w:hAnsi="Times New Roman"/>
                <w:sz w:val="20"/>
              </w:rPr>
              <w:t>5/5</w:t>
            </w:r>
          </w:p>
        </w:tc>
      </w:tr>
      <w:tr>
        <w:tc>
          <w:tcPr>
            <w:tcW w:type="dxa" w:w="2880"/>
          </w:tcPr>
          <w:p>
            <w:r>
              <w:rPr>
                <w:rFonts w:ascii="Times New Roman" w:hAnsi="Times New Roman"/>
                <w:sz w:val="20"/>
              </w:rPr>
              <w:t>miRNA</w:t>
            </w:r>
          </w:p>
        </w:tc>
        <w:tc>
          <w:tcPr>
            <w:tcW w:type="dxa" w:w="2880"/>
          </w:tcPr>
          <w:p>
            <w:r>
              <w:rPr>
                <w:rFonts w:ascii="Times New Roman" w:hAnsi="Times New Roman"/>
                <w:sz w:val="20"/>
              </w:rPr>
              <w:t>MIMAT0022482</w:t>
            </w:r>
          </w:p>
        </w:tc>
        <w:tc>
          <w:tcPr>
            <w:tcW w:type="dxa" w:w="2880"/>
          </w:tcPr>
          <w:p>
            <w:r>
              <w:rPr>
                <w:rFonts w:ascii="Times New Roman" w:hAnsi="Times New Roman"/>
                <w:sz w:val="20"/>
              </w:rPr>
              <w:t>5/5</w:t>
            </w:r>
          </w:p>
        </w:tc>
      </w:tr>
      <w:tr>
        <w:tc>
          <w:tcPr>
            <w:tcW w:type="dxa" w:w="2880"/>
          </w:tcPr>
          <w:p>
            <w:r>
              <w:rPr>
                <w:rFonts w:ascii="Times New Roman" w:hAnsi="Times New Roman"/>
                <w:sz w:val="20"/>
              </w:rPr>
              <w:t>Methylation</w:t>
            </w:r>
          </w:p>
        </w:tc>
        <w:tc>
          <w:tcPr>
            <w:tcW w:type="dxa" w:w="2880"/>
          </w:tcPr>
          <w:p>
            <w:r>
              <w:rPr>
                <w:rFonts w:ascii="Times New Roman" w:hAnsi="Times New Roman"/>
                <w:sz w:val="20"/>
              </w:rPr>
              <w:t>cg21131024</w:t>
            </w:r>
          </w:p>
        </w:tc>
        <w:tc>
          <w:tcPr>
            <w:tcW w:type="dxa" w:w="2880"/>
          </w:tcPr>
          <w:p>
            <w:r>
              <w:rPr>
                <w:rFonts w:ascii="Times New Roman" w:hAnsi="Times New Roman"/>
                <w:sz w:val="20"/>
              </w:rPr>
              <w:t>5/5</w:t>
            </w:r>
          </w:p>
        </w:tc>
      </w:tr>
      <w:tr>
        <w:tc>
          <w:tcPr>
            <w:tcW w:type="dxa" w:w="2880"/>
          </w:tcPr>
          <w:p>
            <w:r>
              <w:rPr>
                <w:rFonts w:ascii="Times New Roman" w:hAnsi="Times New Roman"/>
                <w:sz w:val="20"/>
              </w:rPr>
              <w:t>Methylation</w:t>
            </w:r>
          </w:p>
        </w:tc>
        <w:tc>
          <w:tcPr>
            <w:tcW w:type="dxa" w:w="2880"/>
          </w:tcPr>
          <w:p>
            <w:r>
              <w:rPr>
                <w:rFonts w:ascii="Times New Roman" w:hAnsi="Times New Roman"/>
                <w:sz w:val="20"/>
              </w:rPr>
              <w:t>cg07676361</w:t>
            </w:r>
          </w:p>
        </w:tc>
        <w:tc>
          <w:tcPr>
            <w:tcW w:type="dxa" w:w="2880"/>
          </w:tcPr>
          <w:p>
            <w:r>
              <w:rPr>
                <w:rFonts w:ascii="Times New Roman" w:hAnsi="Times New Roman"/>
                <w:sz w:val="20"/>
              </w:rPr>
              <w:t>5/5</w:t>
            </w:r>
          </w:p>
        </w:tc>
      </w:tr>
      <w:tr>
        <w:tc>
          <w:tcPr>
            <w:tcW w:type="dxa" w:w="2880"/>
          </w:tcPr>
          <w:p>
            <w:r>
              <w:rPr>
                <w:rFonts w:ascii="Times New Roman" w:hAnsi="Times New Roman"/>
                <w:sz w:val="20"/>
              </w:rPr>
              <w:t>Methylation</w:t>
            </w:r>
          </w:p>
        </w:tc>
        <w:tc>
          <w:tcPr>
            <w:tcW w:type="dxa" w:w="2880"/>
          </w:tcPr>
          <w:p>
            <w:r>
              <w:rPr>
                <w:rFonts w:ascii="Times New Roman" w:hAnsi="Times New Roman"/>
                <w:sz w:val="20"/>
              </w:rPr>
              <w:t>cg08979352</w:t>
            </w:r>
          </w:p>
        </w:tc>
        <w:tc>
          <w:tcPr>
            <w:tcW w:type="dxa" w:w="2880"/>
          </w:tcPr>
          <w:p>
            <w:r>
              <w:rPr>
                <w:rFonts w:ascii="Times New Roman" w:hAnsi="Times New Roman"/>
                <w:sz w:val="20"/>
              </w:rPr>
              <w:t>5/5</w:t>
            </w:r>
          </w:p>
        </w:tc>
      </w:tr>
      <w:tr>
        <w:tc>
          <w:tcPr>
            <w:tcW w:type="dxa" w:w="2880"/>
          </w:tcPr>
          <w:p>
            <w:r>
              <w:rPr>
                <w:rFonts w:ascii="Times New Roman" w:hAnsi="Times New Roman"/>
                <w:sz w:val="20"/>
              </w:rPr>
              <w:t>Methylation</w:t>
            </w:r>
          </w:p>
        </w:tc>
        <w:tc>
          <w:tcPr>
            <w:tcW w:type="dxa" w:w="2880"/>
          </w:tcPr>
          <w:p>
            <w:r>
              <w:rPr>
                <w:rFonts w:ascii="Times New Roman" w:hAnsi="Times New Roman"/>
                <w:sz w:val="20"/>
              </w:rPr>
              <w:t>cg15565032</w:t>
            </w:r>
          </w:p>
        </w:tc>
        <w:tc>
          <w:tcPr>
            <w:tcW w:type="dxa" w:w="2880"/>
          </w:tcPr>
          <w:p>
            <w:r>
              <w:rPr>
                <w:rFonts w:ascii="Times New Roman" w:hAnsi="Times New Roman"/>
                <w:sz w:val="20"/>
              </w:rPr>
              <w:t>5/5</w:t>
            </w:r>
          </w:p>
        </w:tc>
      </w:tr>
      <w:tr>
        <w:tc>
          <w:tcPr>
            <w:tcW w:type="dxa" w:w="2880"/>
          </w:tcPr>
          <w:p>
            <w:r>
              <w:rPr>
                <w:rFonts w:ascii="Times New Roman" w:hAnsi="Times New Roman"/>
                <w:sz w:val="20"/>
              </w:rPr>
              <w:t>Methylation</w:t>
            </w:r>
          </w:p>
        </w:tc>
        <w:tc>
          <w:tcPr>
            <w:tcW w:type="dxa" w:w="2880"/>
          </w:tcPr>
          <w:p>
            <w:r>
              <w:rPr>
                <w:rFonts w:ascii="Times New Roman" w:hAnsi="Times New Roman"/>
                <w:sz w:val="20"/>
              </w:rPr>
              <w:t>cg09273054</w:t>
            </w:r>
          </w:p>
        </w:tc>
        <w:tc>
          <w:tcPr>
            <w:tcW w:type="dxa" w:w="2880"/>
          </w:tcPr>
          <w:p>
            <w:r>
              <w:rPr>
                <w:rFonts w:ascii="Times New Roman" w:hAnsi="Times New Roman"/>
                <w:sz w:val="20"/>
              </w:rPr>
              <w:t>5/5</w:t>
            </w:r>
          </w:p>
        </w:tc>
      </w:tr>
      <w:tr>
        <w:tc>
          <w:tcPr>
            <w:tcW w:type="dxa" w:w="2880"/>
          </w:tcPr>
          <w:p>
            <w:r>
              <w:rPr>
                <w:rFonts w:ascii="Times New Roman" w:hAnsi="Times New Roman"/>
                <w:sz w:val="20"/>
              </w:rPr>
              <w:t>Methylation</w:t>
            </w:r>
          </w:p>
        </w:tc>
        <w:tc>
          <w:tcPr>
            <w:tcW w:type="dxa" w:w="2880"/>
          </w:tcPr>
          <w:p>
            <w:r>
              <w:rPr>
                <w:rFonts w:ascii="Times New Roman" w:hAnsi="Times New Roman"/>
                <w:sz w:val="20"/>
              </w:rPr>
              <w:t>rs4331560</w:t>
            </w:r>
          </w:p>
        </w:tc>
        <w:tc>
          <w:tcPr>
            <w:tcW w:type="dxa" w:w="2880"/>
          </w:tcPr>
          <w:p>
            <w:r>
              <w:rPr>
                <w:rFonts w:ascii="Times New Roman" w:hAnsi="Times New Roman"/>
                <w:sz w:val="20"/>
              </w:rPr>
              <w:t>5/5</w:t>
            </w:r>
          </w:p>
        </w:tc>
      </w:tr>
    </w:tbl>
    <w:p/>
    <w:p>
      <w:pPr>
        <w:pStyle w:val="Heading1"/>
      </w:pPr>
      <w:r>
        <w:t>4. Discussion</w:t>
      </w:r>
    </w:p>
    <w:p>
      <w:r>
        <w:rPr>
          <w:rFonts w:ascii="Times New Roman" w:hAnsi="Times New Roman"/>
          <w:b w:val="0"/>
          <w:i w:val="0"/>
          <w:sz w:val="24"/>
        </w:rPr>
        <w:t>In this study, we developed an interpretable, attention-based multi-branch deep learning framework for multi-omics survival prediction in hepatocellular carcinoma. Our approach substantially outperforms the reproduced Chaudhary et al. autoencoder baseline (5-fold CV C-index: 0.751 vs. 0.561) and an AUTOSurv-like benchmark (0.697), while providing transparent feature- and omics-level importance scores.</w:t>
      </w:r>
    </w:p>
    <w:p>
      <w:r>
        <w:rPr>
          <w:rFonts w:ascii="Times New Roman" w:hAnsi="Times New Roman"/>
          <w:b w:val="0"/>
          <w:i w:val="0"/>
          <w:sz w:val="24"/>
        </w:rPr>
        <w:t>Superior prognostic performance. The attention-based architecture achieved a mean CV C-index of 0.751, representing a 34% relative improvement over the autoencoder baseline. The multi-branch design, which treats each omics layer independently before fusion, appears to better capture omics-specific prognostic signals than concatenation-based approaches.</w:t>
      </w:r>
    </w:p>
    <w:p>
      <w:r>
        <w:rPr>
          <w:rFonts w:ascii="Times New Roman" w:hAnsi="Times New Roman"/>
          <w:b w:val="0"/>
          <w:i w:val="0"/>
          <w:sz w:val="24"/>
        </w:rPr>
        <w:t>Balanced omics contributions. Attention weights revealed that mRNA (34.0%), methylation (33.2%), and miRNA (32.8%) contribute roughly equally to risk prediction, supporting the value of multi-omics integration over single-omics models.</w:t>
      </w:r>
    </w:p>
    <w:p>
      <w:r>
        <w:rPr>
          <w:rFonts w:ascii="Times New Roman" w:hAnsi="Times New Roman"/>
          <w:b w:val="0"/>
          <w:i w:val="0"/>
          <w:sz w:val="24"/>
        </w:rPr>
        <w:t>Biologically plausible features. The model identified features with established links to HCC biology: cell cycle regulators (CCNA2, PLK1, CEP55, KIF2C), Wnt pathway components (FZD7), and well-known proliferation markers. The top DE genes between risk groups (G6PD, CBX2, CEP55, PLK1, MYBL2) are established markers of aggressive HCC (Boyault et al. 2007; Hoshida et al. 2009).</w:t>
      </w:r>
    </w:p>
    <w:p>
      <w:r>
        <w:rPr>
          <w:rFonts w:ascii="Times New Roman" w:hAnsi="Times New Roman"/>
          <w:b w:val="0"/>
          <w:i w:val="0"/>
          <w:sz w:val="24"/>
        </w:rPr>
        <w:t>Independent prognostic value. The risk score added highly significant prognostic value beyond standard clinical variables (p &lt; 10⁻¹⁰⁰, NRI = 0.398), consistent with Chaudhary et al.’s finding that multi-omics models complement clinical staging.</w:t>
      </w:r>
    </w:p>
    <w:p>
      <w:pPr>
        <w:pStyle w:val="Heading2"/>
      </w:pPr>
      <w:r>
        <w:t>Limitations</w:t>
      </w:r>
    </w:p>
    <w:p>
      <w:r>
        <w:rPr>
          <w:rFonts w:ascii="Times New Roman" w:hAnsi="Times New Roman"/>
          <w:b w:val="0"/>
          <w:i w:val="0"/>
          <w:sz w:val="24"/>
        </w:rPr>
        <w:t>Several limitations should be noted. First, external validation was limited to two real independent cohorts (GSE14520 mRNA, GSE31384 miRNA); the miRNA cohort could not be properly evaluated due to incompatible probe identifiers. Validation on additional cohorts (LIRI-JP, E-TABM-36, Hawaiian) requires controlled-access data applications. Second, with only 358 patients, the full-data C-index (0.989) indicates overfitting; the cross-validated C-index (0.751) provides a more realistic generalization estimate. Third, formal pathway enrichment did not reach statistical significance for most pathways, likely due to the small feature space after survival-association filtering. Fourth, differential expression analysis between model-defined risk groups is partially circular, as the groups were defined by the model trained on the same features; DE results should therefore be interpreted as descriptive rather than independently confirmatory. Fifth, the low Jaccard index (0.064) between attention-derived and DE-derived rankings suggests the model captures nonlinear prognostic features beyond simple differential expression, but further work is needed to determine whether these represent genuine biological signals or model artifacts. Sixth, survival-association feature pre-selection (Spearman filtering) was performed on the full dataset before cross-validation splitting, which may introduce optimistic bias into the CV C-index estimate.</w:t>
      </w:r>
    </w:p>
    <w:p>
      <w:pPr>
        <w:pStyle w:val="Heading1"/>
      </w:pPr>
      <w:r>
        <w:t>5. Conclusions</w:t>
      </w:r>
    </w:p>
    <w:p>
      <w:r>
        <w:rPr>
          <w:rFonts w:ascii="Times New Roman" w:hAnsi="Times New Roman"/>
          <w:b w:val="0"/>
          <w:i w:val="0"/>
          <w:sz w:val="24"/>
        </w:rPr>
        <w:t>We present an interpretable, attention-based multi-branch deep learning model for multi-omics survival prediction in HCC that substantially outperforms the Chaudhary et al. autoencoder baseline and provides transparent feature- and omics-level importance scores. The model identifies biologically plausible prognostic features, adds significant independent value beyond clinical staging, and maintains robust performance across clinical subgroups. This framework advances the goal of transparent, biologically grounded multi-omics integration for cancer prognosis.</w:t>
      </w:r>
    </w:p>
    <w:p>
      <w:pPr>
        <w:pStyle w:val="Heading1"/>
      </w:pPr>
      <w:r>
        <w:t>6. Data and Code Availability</w:t>
      </w:r>
    </w:p>
    <w:p>
      <w:r>
        <w:rPr>
          <w:rFonts w:ascii="Times New Roman" w:hAnsi="Times New Roman"/>
          <w:b w:val="0"/>
          <w:i w:val="0"/>
          <w:sz w:val="24"/>
        </w:rPr>
        <w:t>TCGA LIHC data were obtained from the UCSC Xena platform (https://xenabrowser.net). External validation data were downloaded from GEO (GSE14520, GSE31384). All analysis scripts, model architectures, trained weights, and preprocessing pipelines are available at [GitHub repository URL to be added prior to publication]. The repository includes instructions for reproducing all analyses.</w:t>
      </w:r>
    </w:p>
    <w:p>
      <w:pPr>
        <w:pStyle w:val="Heading1"/>
      </w:pPr>
      <w:r>
        <w:t>7. Ethics Statement</w:t>
      </w:r>
    </w:p>
    <w:p>
      <w:r>
        <w:rPr>
          <w:rFonts w:ascii="Times New Roman" w:hAnsi="Times New Roman"/>
          <w:b w:val="0"/>
          <w:i w:val="0"/>
          <w:sz w:val="24"/>
        </w:rPr>
        <w:t>This study used only publicly available, de-identified data from TCGA (via UCSC Xena) and GEO. No institutional review board (IRB) approval was required, as no human subjects were directly involved and all data are available without restricted access agreements.</w:t>
      </w:r>
    </w:p>
    <w:p>
      <w:pPr>
        <w:pStyle w:val="Heading1"/>
      </w:pPr>
      <w:r>
        <w:t>8. Conflict of Interest</w:t>
      </w:r>
    </w:p>
    <w:p>
      <w:r>
        <w:rPr>
          <w:rFonts w:ascii="Times New Roman" w:hAnsi="Times New Roman"/>
          <w:b w:val="0"/>
          <w:i w:val="0"/>
          <w:sz w:val="24"/>
        </w:rPr>
        <w:t>The authors declare no competing interests.</w:t>
      </w:r>
    </w:p>
    <w:p>
      <w:pPr>
        <w:pStyle w:val="Heading1"/>
      </w:pPr>
      <w:r>
        <w:t>9. Funding</w:t>
      </w:r>
    </w:p>
    <w:p>
      <w:r>
        <w:rPr>
          <w:rFonts w:ascii="Times New Roman" w:hAnsi="Times New Roman"/>
          <w:b w:val="0"/>
          <w:i w:val="0"/>
          <w:sz w:val="24"/>
        </w:rPr>
        <w:t>This research received no external funding.</w:t>
      </w:r>
    </w:p>
    <w:p>
      <w:pPr>
        <w:pStyle w:val="Heading1"/>
      </w:pPr>
      <w:r>
        <w:t>10. Acknowledgments</w:t>
      </w:r>
    </w:p>
    <w:p>
      <w:r>
        <w:rPr>
          <w:rFonts w:ascii="Times New Roman" w:hAnsi="Times New Roman"/>
          <w:b w:val="0"/>
          <w:i w:val="0"/>
          <w:sz w:val="24"/>
        </w:rPr>
        <w:t>The results shown here are in part based upon data generated by the TCGA Research Network: https://www.cancer.gov/tcga. We thank the GEO and ArrayExpress databases for providing open access to the external validation datasets.</w:t>
      </w:r>
    </w:p>
    <w:p>
      <w:pPr>
        <w:pStyle w:val="Heading1"/>
      </w:pPr>
      <w:r>
        <w:t>11. References</w:t>
      </w:r>
    </w:p>
    <w:p>
      <w:pPr>
        <w:pStyle w:val="ListNumber"/>
      </w:pPr>
      <w:r>
        <w:rPr>
          <w:rFonts w:ascii="Times New Roman" w:hAnsi="Times New Roman"/>
          <w:sz w:val="20"/>
        </w:rPr>
        <w:t>Boyault S, et al. 2007. Transcriptome classification of HCC is related to gene alterations and to new therapeutic targets. Hepatology 45:42–52.</w:t>
      </w:r>
    </w:p>
    <w:p>
      <w:pPr>
        <w:pStyle w:val="ListNumber"/>
      </w:pPr>
      <w:r>
        <w:rPr>
          <w:rFonts w:ascii="Times New Roman" w:hAnsi="Times New Roman"/>
          <w:sz w:val="20"/>
        </w:rPr>
        <w:t>Chai H, et al. 2021. Integrating multi-omics data through deep learning for accurate cancer prognosis prediction. Comput Biol Med 134:104481.</w:t>
      </w:r>
    </w:p>
    <w:p>
      <w:pPr>
        <w:pStyle w:val="ListNumber"/>
      </w:pPr>
      <w:r>
        <w:rPr>
          <w:rFonts w:ascii="Times New Roman" w:hAnsi="Times New Roman"/>
          <w:sz w:val="20"/>
        </w:rPr>
        <w:t>Chaudhary K, Poirion OB, Lu L, Garmire LX. 2018. Deep Learning-Based Multi-Omics Integration Robustly Predicts Survival in Liver Cancer. Clin Cancer Res 24:1248–1259.</w:t>
      </w:r>
    </w:p>
    <w:p>
      <w:pPr>
        <w:pStyle w:val="ListNumber"/>
      </w:pPr>
      <w:r>
        <w:rPr>
          <w:rFonts w:ascii="Times New Roman" w:hAnsi="Times New Roman"/>
          <w:sz w:val="20"/>
        </w:rPr>
        <w:t>Elbashir MK, et al. 2024. Enhancing non-small cell lung cancer survival prediction through multi-omics integration using graph attention network. Diagnostics 14:2178.</w:t>
      </w:r>
    </w:p>
    <w:p>
      <w:pPr>
        <w:pStyle w:val="ListNumber"/>
      </w:pPr>
      <w:r>
        <w:rPr>
          <w:rFonts w:ascii="Times New Roman" w:hAnsi="Times New Roman"/>
          <w:sz w:val="20"/>
        </w:rPr>
        <w:t>Hoshida Y, et al. 2009. Integrative transcriptome analysis reveals common molecular subclasses of human hepatocellular carcinoma. Cancer Res 69:7385–7392.</w:t>
      </w:r>
    </w:p>
    <w:p>
      <w:pPr>
        <w:pStyle w:val="ListNumber"/>
      </w:pPr>
      <w:r>
        <w:rPr>
          <w:rFonts w:ascii="Times New Roman" w:hAnsi="Times New Roman"/>
          <w:sz w:val="20"/>
        </w:rPr>
        <w:t>Huang Z, et al. 2019. SALMON: Survival Analysis Learning With Multi-Omics Neural Networks on Breast Cancer. Front Genet 10:166.</w:t>
      </w:r>
    </w:p>
    <w:p>
      <w:pPr>
        <w:pStyle w:val="ListNumber"/>
      </w:pPr>
      <w:r>
        <w:rPr>
          <w:rFonts w:ascii="Times New Roman" w:hAnsi="Times New Roman"/>
          <w:sz w:val="20"/>
        </w:rPr>
        <w:t>Hutter C, Zenklusen JC. 2018. The Cancer Genome Atlas: Creating Lasting Value beyond Its Data. Cell 173:283–285.</w:t>
      </w:r>
    </w:p>
    <w:p>
      <w:pPr>
        <w:pStyle w:val="ListNumber"/>
      </w:pPr>
      <w:r>
        <w:rPr>
          <w:rFonts w:ascii="Times New Roman" w:hAnsi="Times New Roman"/>
          <w:sz w:val="20"/>
        </w:rPr>
        <w:t>Jiang L, et al. 2024. AUTOSurv: interpretable deep learning framework for cancer survival analysis incorporating clinical and multi-omics data. npj Precis Oncol 8:4.</w:t>
      </w:r>
    </w:p>
    <w:p>
      <w:pPr>
        <w:pStyle w:val="ListNumber"/>
      </w:pPr>
      <w:r>
        <w:rPr>
          <w:rFonts w:ascii="Times New Roman" w:hAnsi="Times New Roman"/>
          <w:sz w:val="20"/>
        </w:rPr>
        <w:t>Llovet JM, et al. 2021. Hepatocellular carcinoma. Nat Rev Dis Primers 7:6.</w:t>
      </w:r>
    </w:p>
    <w:p>
      <w:pPr>
        <w:pStyle w:val="ListNumber"/>
      </w:pPr>
      <w:r>
        <w:rPr>
          <w:rFonts w:ascii="Times New Roman" w:hAnsi="Times New Roman"/>
          <w:sz w:val="20"/>
        </w:rPr>
        <w:t>Rumgay H, et al. 2022. Global burden of primary liver cancer in 2020 and predictions to 2040. J Hepatol 77:1598–1606.</w:t>
      </w:r>
    </w:p>
    <w:p>
      <w:pPr>
        <w:pStyle w:val="ListNumber"/>
      </w:pPr>
      <w:r>
        <w:rPr>
          <w:rFonts w:ascii="Times New Roman" w:hAnsi="Times New Roman"/>
          <w:sz w:val="20"/>
        </w:rPr>
        <w:t>Sung H, et al. 2021. Global Cancer Statistics 2020. CA Cancer J Clin 71:209–249.</w:t>
      </w:r>
    </w:p>
    <w:p>
      <w:pPr>
        <w:pStyle w:val="ListNumber"/>
      </w:pPr>
      <w:r>
        <w:rPr>
          <w:rFonts w:ascii="Times New Roman" w:hAnsi="Times New Roman"/>
          <w:sz w:val="20"/>
        </w:rPr>
        <w:t>Villanueva A. 2019. Hepatocellular carcinoma. N Engl J Med 380:1450–1462.</w:t>
      </w:r>
    </w:p>
    <w:p>
      <w:pPr>
        <w:pStyle w:val="ListNumber"/>
      </w:pPr>
      <w:r>
        <w:rPr>
          <w:rFonts w:ascii="Times New Roman" w:hAnsi="Times New Roman"/>
          <w:sz w:val="20"/>
        </w:rPr>
        <w:t>Wekesa JS, Kimwele MW. 2023. A review of multi-omics data integration through deep learning approaches for disease diagnosis, prognosis, and treatment. Front Genet 14:1199087.</w:t>
      </w:r>
    </w:p>
    <w:p>
      <w:pPr>
        <w:pStyle w:val="ListNumber"/>
      </w:pPr>
      <w:r>
        <w:rPr>
          <w:rFonts w:ascii="Times New Roman" w:hAnsi="Times New Roman"/>
          <w:sz w:val="20"/>
        </w:rPr>
        <w:t>Wysocka M, et al. 2023. A systematic review of biologically-informed deep learning models for cancer. BMC Bioinformatics 24:198.</w:t>
      </w:r>
    </w:p>
    <w:p>
      <w:pPr>
        <w:pStyle w:val="ListNumber"/>
      </w:pPr>
      <w:r>
        <w:rPr>
          <w:rFonts w:ascii="Times New Roman" w:hAnsi="Times New Roman"/>
          <w:sz w:val="20"/>
        </w:rPr>
        <w:t>Zhang J, et al. 2025. Deep learning-driven multi-omics analysis: enhancing cancer diagnostics and therapeutics. Brief Bioinform 26:bbaf440.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