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0B2A4A"/>
          <w:sz w:val="36"/>
        </w:rPr>
        <w:t>NativeReady - The Bigger Vision</w:t>
      </w:r>
    </w:p>
    <w:p>
      <w:pPr>
        <w:spacing w:after="160"/>
      </w:pPr>
      <w:r>
        <w:rPr>
          <w:i/>
          <w:color w:val="556666"/>
          <w:sz w:val="23"/>
        </w:rPr>
        <w:t>The decision layer between AI protein design and the wet lab. Why it is worth building, and how it becomes an acquisition.</w:t>
      </w:r>
    </w:p>
    <w:p>
      <w:pPr>
        <w:spacing w:before="300" w:after="60"/>
      </w:pPr>
      <w:r>
        <w:rPr>
          <w:b/>
          <w:color w:val="0F7A86"/>
          <w:sz w:val="28"/>
        </w:rPr>
        <w:t>The vision in one line</w:t>
      </w:r>
    </w:p>
    <w:p>
      <w:pPr>
        <w:spacing w:before="80" w:after="120"/>
        <w:ind w:left="320"/>
      </w:pPr>
      <w:r>
        <w:rPr>
          <w:i/>
          <w:color w:val="0B2A4A"/>
          <w:sz w:val="23"/>
        </w:rPr>
        <w:t>NativeReady becomes the decision layer that every AI protein-design pipeline calls before it commits a physical experiment - the system that decides which of thousands of computational designs are worth actually testing.</w:t>
      </w:r>
    </w:p>
    <w:p>
      <w:pPr>
        <w:spacing w:after="100"/>
      </w:pPr>
      <w:r>
        <w:rPr>
          <w:b w:val="0"/>
        </w:rPr>
        <w:t xml:space="preserve">Native mass spectrometry is the </w:t>
      </w:r>
      <w:r>
        <w:rPr>
          <w:b/>
        </w:rPr>
        <w:t>wedge</w:t>
      </w:r>
      <w:r>
        <w:rPr>
          <w:b w:val="0"/>
        </w:rPr>
        <w:t>, not the destination. The wedge is narrow, real, and winnable today. The vision is what the wedge becomes once the same core capability - predict from sequence whether an expensive, sample-consuming experiment will succeed - generalizes into the position the whole field is about to need.</w:t>
      </w:r>
    </w:p>
    <w:p>
      <w:pPr>
        <w:spacing w:before="300" w:after="60"/>
      </w:pPr>
      <w:r>
        <w:rPr>
          <w:b/>
          <w:color w:val="0F7A86"/>
          <w:sz w:val="28"/>
        </w:rPr>
        <w:t>Why this is the vision worth pursuing</w:t>
      </w:r>
    </w:p>
    <w:p>
      <w:pPr>
        <w:spacing w:before="180" w:after="40"/>
      </w:pPr>
      <w:r>
        <w:rPr>
          <w:b/>
          <w:color w:val="0B2A4A"/>
          <w:sz w:val="23"/>
        </w:rPr>
        <w:t>The field flipped which step is scarce</w:t>
      </w:r>
    </w:p>
    <w:p>
      <w:pPr>
        <w:spacing w:after="100"/>
      </w:pPr>
      <w:r>
        <w:rPr>
          <w:b w:val="0"/>
        </w:rPr>
        <w:t xml:space="preserve">For decades, </w:t>
      </w:r>
      <w:r>
        <w:rPr>
          <w:b/>
        </w:rPr>
        <w:t>designing</w:t>
      </w:r>
      <w:r>
        <w:rPr>
          <w:b w:val="0"/>
        </w:rPr>
        <w:t xml:space="preserve"> a protein was the hard, slow, expensive step and </w:t>
      </w:r>
      <w:r>
        <w:rPr>
          <w:b/>
        </w:rPr>
        <w:t>testing</w:t>
      </w:r>
      <w:r>
        <w:rPr>
          <w:b w:val="0"/>
        </w:rPr>
        <w:t xml:space="preserve"> it was routine. The generative-AI wave (ESM, AlphaFold, RFdiffusion, and design-first companies like Chai Discovery, plus open models like Boltz) inverted that. Design is now cheap and effectively unlimited - a model can output thousands of candidate proteins in an afternoon.</w:t>
      </w:r>
    </w:p>
    <w:p>
      <w:pPr>
        <w:spacing w:after="100"/>
      </w:pPr>
      <w:r>
        <w:rPr>
          <w:b w:val="0"/>
        </w:rPr>
        <w:t xml:space="preserve">That inversion creates a new, permanent bottleneck: </w:t>
      </w:r>
      <w:r>
        <w:rPr>
          <w:b/>
          <w:color w:val="B02A37"/>
        </w:rPr>
        <w:t>you cannot physically test thousands of designs.</w:t>
      </w:r>
      <w:r>
        <w:rPr>
          <w:b w:val="0"/>
        </w:rPr>
        <w:t xml:space="preserve"> Wet-lab validation - expression, purification, and characterization - is still slow, costly, and sample-limited. Every design-first pipeline now hits the same wall: </w:t>
      </w:r>
      <w:r>
        <w:rPr>
          <w:b/>
        </w:rPr>
        <w:t>which of these do we actually make and test?</w:t>
      </w:r>
    </w:p>
    <w:p>
      <w:pPr>
        <w:spacing w:before="180" w:after="40"/>
      </w:pPr>
      <w:r>
        <w:rPr>
          <w:b/>
          <w:color w:val="0B2A4A"/>
          <w:sz w:val="23"/>
        </w:rPr>
        <w:t>Whoever answers that question sits at the center of the workflow</w:t>
      </w:r>
    </w:p>
    <w:p>
      <w:pPr>
        <w:spacing w:after="100"/>
      </w:pPr>
      <w:r>
        <w:rPr>
          <w:b w:val="0"/>
        </w:rPr>
        <w:t xml:space="preserve">In a world where design is cheap and testing is the constraint, the </w:t>
      </w:r>
      <w:r>
        <w:rPr>
          <w:b/>
          <w:color w:val="1E7A33"/>
        </w:rPr>
        <w:t>layer that decides what to test is the strategically valuable one.</w:t>
      </w:r>
      <w:r>
        <w:rPr>
          <w:b w:val="0"/>
        </w:rPr>
        <w:t xml:space="preserve"> It is the throttle on the single most expensive step. NativeReady - generalized beyond native MS - is exactly that layer: it takes a set of candidate sequences and tells you which are worth committing physical resources to, before any experiment runs.</w:t>
      </w:r>
    </w:p>
    <w:p>
      <w:pPr>
        <w:spacing w:before="80" w:after="120"/>
        <w:ind w:left="320"/>
      </w:pPr>
      <w:r>
        <w:rPr>
          <w:i/>
          <w:color w:val="1E7A33"/>
          <w:sz w:val="23"/>
        </w:rPr>
        <w:t>This is the Adaptyv-adjacent insight. Adaptyv built the wet lab that runs the designs. NativeReady is upstream of that - the triage that decides what even reaches a lab like Adaptyv's. In an automated design-build-test loop, NativeReady is the decision node between “design” and “build.”</w:t>
      </w:r>
    </w:p>
    <w:p>
      <w:pPr>
        <w:spacing w:before="180" w:after="40"/>
      </w:pPr>
      <w:r>
        <w:rPr>
          <w:b/>
          <w:color w:val="0B2A4A"/>
          <w:sz w:val="23"/>
        </w:rPr>
        <w:t>Why it compounds instead of commoditizing</w:t>
      </w:r>
    </w:p>
    <w:p>
      <w:pPr>
        <w:spacing w:after="100"/>
      </w:pPr>
      <w:r>
        <w:rPr>
          <w:b w:val="0"/>
        </w:rPr>
        <w:t xml:space="preserve">The core asset is not the model - foundation models are shared and improving for everyone. The asset is the </w:t>
      </w:r>
      <w:r>
        <w:rPr>
          <w:b/>
          <w:color w:val="0B2A4A"/>
        </w:rPr>
        <w:t>conditions-annotated dataset of real experimental outcomes</w:t>
      </w:r>
      <w:r>
        <w:rPr>
          <w:b w:val="0"/>
        </w:rPr>
        <w:t xml:space="preserve"> that accrues every time a lab logs whether a protein worked or failed, and under what conditions. That data does not exist anywhere at scale, cannot be scraped from the literature (failures are not published), and gets better the more the tool is used. It is the flywheel: usage produces outcome data, outcome data improves prediction, better prediction drives usage. The moat widens with time.</w:t>
      </w:r>
    </w:p>
    <w:p>
      <w:pPr>
        <w:spacing w:before="300" w:after="60"/>
      </w:pPr>
      <w:r>
        <w:rPr>
          <w:b/>
          <w:color w:val="0F7A86"/>
          <w:sz w:val="28"/>
        </w:rPr>
        <w:t>The path from wedge to vision</w:t>
      </w:r>
    </w:p>
    <w:p>
      <w:pPr>
        <w:spacing w:after="100"/>
      </w:pPr>
      <w:r>
        <w:rPr>
          <w:b w:val="0"/>
        </w:rPr>
        <w:t>The vision is reached in stages, each one a real product that stands on its own and feeds the next. None requires abandoning the near-term plan - each is the natural next expansion of it.</w:t>
      </w:r>
    </w:p>
    <w:p>
      <w:pPr>
        <w:pStyle w:val="ListNumber"/>
      </w:pPr>
      <w:r>
        <w:rPr>
          <w:b/>
          <w:color w:val="0B2A4A"/>
        </w:rPr>
        <w:t xml:space="preserve">Wedge (now): </w:t>
      </w:r>
      <w:r>
        <w:rPr>
          <w:b w:val="0"/>
        </w:rPr>
        <w:t>pre-experiment triage for native MS. Predict suitability from sequence; a first-pass prioritizer with honest scope. This earns the first labs and the first real outcome data.</w:t>
      </w:r>
    </w:p>
    <w:p>
      <w:pPr>
        <w:pStyle w:val="ListNumber"/>
      </w:pPr>
      <w:r>
        <w:rPr>
          <w:b/>
          <w:color w:val="0B2A4A"/>
        </w:rPr>
        <w:t xml:space="preserve">Technique-agnostic triage: </w:t>
      </w:r>
      <w:r>
        <w:rPr>
          <w:b w:val="0"/>
        </w:rPr>
        <w:t>the same core generalizes to other expensive, sample-consuming methods - cryo-EM, crystallography, HDX-MS, SEC-MALS. NativeReady becomes the pre-experiment decision layer across structural biology, not one technique. The moat compounds across methods.</w:t>
      </w:r>
    </w:p>
    <w:p>
      <w:pPr>
        <w:pStyle w:val="ListNumber"/>
      </w:pPr>
      <w:r>
        <w:rPr>
          <w:b/>
          <w:color w:val="0B2A4A"/>
        </w:rPr>
        <w:t xml:space="preserve">From “will it work?” to “what makes it work?”: </w:t>
      </w:r>
      <w:r>
        <w:rPr>
          <w:b w:val="0"/>
        </w:rPr>
        <w:t>predict not just suitability but the recipe - buffer, construct, prep, instrument settings most likely to succeed. The warning light becomes an autopilot. This is where the conditions data becomes a product, not just an input.</w:t>
      </w:r>
    </w:p>
    <w:p>
      <w:pPr>
        <w:pStyle w:val="ListNumber"/>
      </w:pPr>
      <w:r>
        <w:rPr>
          <w:b/>
          <w:color w:val="0B2A4A"/>
        </w:rPr>
        <w:t xml:space="preserve">The decision layer for agentic biology: </w:t>
      </w:r>
      <w:r>
        <w:rPr>
          <w:b w:val="0"/>
        </w:rPr>
        <w:t>expose it as the API call an autonomous design-build-test loop makes before spending real resources. When AI systems design proteins at scale, NativeReady is the validation/decision node they route through. Design is cheap; the layer that decides what to test is central.</w:t>
      </w:r>
    </w:p>
    <w:p>
      <w:pPr>
        <w:spacing w:before="300" w:after="60"/>
      </w:pPr>
      <w:r>
        <w:rPr>
          <w:b/>
          <w:color w:val="0F7A86"/>
          <w:sz w:val="28"/>
        </w:rPr>
        <w:t>How this becomes an acquisition</w:t>
      </w:r>
    </w:p>
    <w:p>
      <w:pPr>
        <w:spacing w:after="100"/>
      </w:pPr>
      <w:r>
        <w:rPr>
          <w:b w:val="0"/>
        </w:rPr>
        <w:t>The north star is acquisition. An acquirer does not pay a premium for “a native-MS triage tool.” They pay a premium for a company that owns something they cannot quickly replicate and that occupies a position they need. If the vision succeeds, NativeReady has both.</w:t>
      </w:r>
    </w:p>
    <w:p>
      <w:pPr>
        <w:spacing w:before="180" w:after="40"/>
      </w:pPr>
      <w:r>
        <w:rPr>
          <w:b/>
          <w:color w:val="0B2A4A"/>
          <w:sz w:val="23"/>
        </w:rPr>
        <w:t>What an acquirer is actually buying</w:t>
      </w:r>
    </w:p>
    <w:p>
      <w:pPr>
        <w:pStyle w:val="ListBullet"/>
      </w:pPr>
      <w:r>
        <w:rPr>
          <w:b/>
        </w:rPr>
        <w:t xml:space="preserve">A proprietary data asset: </w:t>
      </w:r>
      <w:r>
        <w:rPr>
          <w:b w:val="0"/>
        </w:rPr>
        <w:t>the conditions-annotated real-outcome dataset - failures included - that no competitor and no public source has. This is the piece that is genuinely hard to buy any other way.</w:t>
      </w:r>
    </w:p>
    <w:p>
      <w:pPr>
        <w:pStyle w:val="ListBullet"/>
      </w:pPr>
      <w:r>
        <w:rPr>
          <w:b/>
        </w:rPr>
        <w:t xml:space="preserve">A strategic workflow position: </w:t>
      </w:r>
      <w:r>
        <w:rPr>
          <w:b w:val="0"/>
        </w:rPr>
        <w:t>the decide-what-to-test layer between AI design and the wet lab - load-bearing infrastructure in the direction the entire field is moving.</w:t>
      </w:r>
    </w:p>
    <w:p>
      <w:pPr>
        <w:pStyle w:val="ListBullet"/>
      </w:pPr>
      <w:r>
        <w:rPr>
          <w:b/>
        </w:rPr>
        <w:t xml:space="preserve">A defensible prediction capability: </w:t>
      </w:r>
      <w:r>
        <w:rPr>
          <w:b w:val="0"/>
        </w:rPr>
        <w:t>models calibrated on that data, plus the physics-based failure-mode simulators that are original technical work, not a wrapper around open-source models.</w:t>
      </w:r>
    </w:p>
    <w:p>
      <w:pPr>
        <w:spacing w:before="180" w:after="40"/>
      </w:pPr>
      <w:r>
        <w:rPr>
          <w:b/>
          <w:color w:val="0B2A4A"/>
          <w:sz w:val="23"/>
        </w:rPr>
        <w:t>Who buys it, and why</w:t>
      </w:r>
    </w:p>
    <w:p>
      <w:pPr>
        <w:pStyle w:val="ListBullet"/>
      </w:pPr>
      <w:r>
        <w:rPr>
          <w:b/>
        </w:rPr>
        <w:t xml:space="preserve">Instrument makers (Thermo Fisher, Waters, Bruker, SCIEX): </w:t>
      </w:r>
      <w:r>
        <w:rPr>
          <w:b w:val="0"/>
        </w:rPr>
        <w:t>they sell the expensive instruments whose throughput NativeReady optimizes. Owning the triage layer makes their instruments more productive and locks in workflow. Precedent: they acquire software that surrounds their hardware (e.g. Thermo/Core Informatics, Waters/Nonlinear Dynamics).</w:t>
      </w:r>
    </w:p>
    <w:p>
      <w:pPr>
        <w:pStyle w:val="ListBullet"/>
      </w:pPr>
      <w:r>
        <w:rPr>
          <w:b/>
        </w:rPr>
        <w:t xml:space="preserve">Scientific-software / informatics platforms (Dotmatics, Genedata, Benchling-class): </w:t>
      </w:r>
      <w:r>
        <w:rPr>
          <w:b w:val="0"/>
        </w:rPr>
        <w:t>they sell the software layer of the lab. A predictive decision layer with a unique dataset is a natural, high-value addition to a data/ELN platform.</w:t>
      </w:r>
    </w:p>
    <w:p>
      <w:pPr>
        <w:pStyle w:val="ListBullet"/>
      </w:pPr>
      <w:r>
        <w:rPr>
          <w:b/>
        </w:rPr>
        <w:t xml:space="preserve">AI-bio and automated-lab platforms (the Adaptyv-class / agentic-biology wave): </w:t>
      </w:r>
      <w:r>
        <w:rPr>
          <w:b w:val="0"/>
        </w:rPr>
        <w:t>as design-build-test loops automate, the decision node between design and build is core infrastructure. Whoever is building the autonomous loop needs exactly this layer.</w:t>
      </w:r>
    </w:p>
    <w:p>
      <w:pPr>
        <w:spacing w:before="180" w:after="40"/>
      </w:pPr>
      <w:r>
        <w:rPr>
          <w:b/>
          <w:color w:val="0B2A4A"/>
          <w:sz w:val="23"/>
        </w:rPr>
        <w:t>Why the price scales with the vision</w:t>
      </w:r>
    </w:p>
    <w:p>
      <w:pPr>
        <w:spacing w:after="100"/>
      </w:pPr>
      <w:r>
        <w:rPr>
          <w:b w:val="0"/>
        </w:rPr>
        <w:t xml:space="preserve">A single-technique tool is a feature - a small tuck-in. The generalized decision layer with a one-of-a-kind outcome dataset is a </w:t>
      </w:r>
      <w:r>
        <w:rPr>
          <w:b/>
          <w:color w:val="1E7A33"/>
        </w:rPr>
        <w:t>category position</w:t>
      </w:r>
      <w:r>
        <w:rPr>
          <w:b w:val="0"/>
        </w:rPr>
        <w:t>. The comparable software acquisitions in this space ran from roughly $14M to $220M, and those were mostly post-hoc data tools without a proprietary predictive dataset. A company that owns the decision layer AND the data that powers it - in the middle of the agentic-biology shift - is worth materially more than any of them, because it is buying the future of the workflow, not a utility bolted onto the past.</w:t>
      </w:r>
    </w:p>
    <w:p>
      <w:pPr>
        <w:spacing w:before="300" w:after="60"/>
      </w:pPr>
      <w:r>
        <w:rPr>
          <w:b/>
          <w:color w:val="0F7A86"/>
          <w:sz w:val="28"/>
        </w:rPr>
        <w:t>The bridge: why the near-term plan IS the vision</w:t>
      </w:r>
    </w:p>
    <w:p>
      <w:pPr>
        <w:spacing w:after="100"/>
      </w:pPr>
      <w:r>
        <w:rPr>
          <w:b w:val="0"/>
        </w:rPr>
        <w:t>The plan does not compete with the vision - it is how you earn the right to it. Every element of the tactical plan is also the first brick of the big version:</w:t>
      </w:r>
    </w:p>
    <w:p>
      <w:pPr>
        <w:pStyle w:val="ListBullet"/>
      </w:pPr>
      <w:r>
        <w:rPr>
          <w:b/>
        </w:rPr>
        <w:t xml:space="preserve">Each design-partner lab </w:t>
      </w:r>
      <w:r>
        <w:rPr>
          <w:b w:val="0"/>
        </w:rPr>
        <w:t>= the first proof point AND the first source of the technique-agnostic data moat.</w:t>
      </w:r>
    </w:p>
    <w:p>
      <w:pPr>
        <w:pStyle w:val="ListBullet"/>
      </w:pPr>
      <w:r>
        <w:rPr>
          <w:b/>
        </w:rPr>
        <w:t xml:space="preserve">Each logged outcome </w:t>
      </w:r>
      <w:r>
        <w:rPr>
          <w:b w:val="0"/>
        </w:rPr>
        <w:t>= near-term traction AND a permanent, compounding data asset.</w:t>
      </w:r>
    </w:p>
    <w:p>
      <w:pPr>
        <w:pStyle w:val="ListBullet"/>
      </w:pPr>
      <w:r>
        <w:rPr>
          <w:b/>
        </w:rPr>
        <w:t xml:space="preserve">The structured-conditions logging </w:t>
      </w:r>
      <w:r>
        <w:rPr>
          <w:b w:val="0"/>
        </w:rPr>
        <w:t>= today's honesty feature AND the foundation of the “what makes it work” product.</w:t>
      </w:r>
    </w:p>
    <w:p>
      <w:pPr>
        <w:spacing w:before="80" w:after="120"/>
        <w:ind w:left="320"/>
      </w:pPr>
      <w:r>
        <w:rPr>
          <w:i/>
          <w:color w:val="1E7A33"/>
          <w:sz w:val="23"/>
        </w:rPr>
        <w:t>So the plan is unchanged. Land the first lab, turn the flywheel, collect real conditions-annotated outcomes. That is simultaneously the thing that gets you funded now and the first step of the largest version of the company.</w:t>
      </w:r>
    </w:p>
    <w:p>
      <w:pPr>
        <w:spacing w:before="300" w:after="60"/>
      </w:pPr>
      <w:r>
        <w:rPr>
          <w:b/>
          <w:color w:val="B02A37"/>
          <w:sz w:val="28"/>
        </w:rPr>
        <w:t>Honesty guardrail</w:t>
      </w:r>
    </w:p>
    <w:p>
      <w:pPr>
        <w:spacing w:after="100"/>
      </w:pPr>
      <w:r>
        <w:rPr>
          <w:b w:val="0"/>
        </w:rPr>
        <w:t>This document is the answer to “where does this go?” - not a claim about what the product does today. In every pitch, still lead with the narrow, real wedge: native MS, first-pass prioritizer, honest scope, pre-revenue. The vision is what you gesture at when asked how big it can get, backed by the logic above - never overclaimed as current capability. The same sequence-visible honesty that governs the product governs the roadmap.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