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A4A"/>
          <w:sz w:val="36"/>
        </w:rPr>
        <w:t>NativeReady - From Today to Acquisition</w:t>
      </w:r>
    </w:p>
    <w:p>
      <w:pPr>
        <w:spacing w:after="160"/>
      </w:pPr>
      <w:r>
        <w:rPr>
          <w:i/>
          <w:color w:val="556666"/>
          <w:sz w:val="23"/>
        </w:rPr>
        <w:t>A step-by-step roadmap: the current product, the decision-layer vision, the design-partner stage, and every stage through to acquisition - with honest money estimates. Written Aug 2026.</w:t>
      </w:r>
    </w:p>
    <w:p>
      <w:pPr>
        <w:spacing w:after="100"/>
      </w:pPr>
      <w:r>
        <w:rPr>
          <w:b/>
          <w:color w:val="0B2A4A"/>
        </w:rPr>
        <w:t xml:space="preserve">How to read this: </w:t>
      </w:r>
      <w:r>
        <w:rPr>
          <w:b w:val="0"/>
        </w:rPr>
        <w:t>the money figures are reasoned scenario estimates, not forecasts. Acquisition prices depend on timing, the buyer's urgency, competitive tension, and how strong the data moat is at the moment of sale. Treat every dollar figure as a band tied to assumptions, and re-check the market comps before quoting any of them externally.</w:t>
      </w:r>
    </w:p>
    <w:p>
      <w:pPr>
        <w:spacing w:before="300" w:after="60"/>
      </w:pPr>
      <w:r>
        <w:rPr>
          <w:b/>
          <w:color w:val="0F7A86"/>
          <w:sz w:val="28"/>
        </w:rPr>
        <w:t>STAGE 0 - Where NativeReady is today (Aug 2026)</w:t>
      </w:r>
    </w:p>
    <w:p>
      <w:pPr>
        <w:spacing w:before="180" w:after="40"/>
      </w:pPr>
      <w:r>
        <w:rPr>
          <w:b/>
          <w:color w:val="0B2A4A"/>
          <w:sz w:val="23"/>
        </w:rPr>
        <w:t>The product (real, live)</w:t>
      </w:r>
    </w:p>
    <w:p>
      <w:pPr>
        <w:pStyle w:val="ListBullet"/>
      </w:pPr>
      <w:r>
        <w:rPr>
          <w:b/>
        </w:rPr>
        <w:t xml:space="preserve">Native-MS suitability triage: </w:t>
      </w:r>
      <w:r>
        <w:rPr>
          <w:b w:val="0"/>
        </w:rPr>
        <w:t>predicts from a protein sequence whether it will give usable native mass-spectrometry data, before the experiment. Returns a 0-100 suitability score, risk flags, and buffer/ionization recommendations.</w:t>
      </w:r>
    </w:p>
    <w:p>
      <w:pPr>
        <w:pStyle w:val="ListBullet"/>
      </w:pPr>
      <w:r>
        <w:rPr>
          <w:b/>
        </w:rPr>
        <w:t xml:space="preserve">Live surfaces: </w:t>
      </w:r>
      <w:r>
        <w:rPr>
          <w:b w:val="0"/>
        </w:rPr>
        <w:t>web tool (nativeready.bio), REST API (Railway), Python SDK (pip install nativeready, v0.4.2).</w:t>
      </w:r>
    </w:p>
    <w:p>
      <w:pPr>
        <w:pStyle w:val="ListBullet"/>
      </w:pPr>
      <w:r>
        <w:rPr>
          <w:b/>
        </w:rPr>
        <w:t xml:space="preserve">Under the hood: </w:t>
      </w:r>
      <w:r>
        <w:rPr>
          <w:b w:val="0"/>
        </w:rPr>
        <w:t>ESM-2 embeddings + ~47 biophysical features + physics-based failure-mode calculators (heterogeneity/resolvability from glycan-mass physics and R = m/FWHM). Benchmark ~635 proteins; AUC ~0.84-0.87 cluster-aware.</w:t>
      </w:r>
    </w:p>
    <w:p>
      <w:pPr>
        <w:pStyle w:val="ListBullet"/>
      </w:pPr>
      <w:r>
        <w:rPr>
          <w:b/>
        </w:rPr>
        <w:t xml:space="preserve">Outcome logging built in: </w:t>
      </w:r>
      <w:r>
        <w:rPr>
          <w:b w:val="0"/>
        </w:rPr>
        <w:t>the web tool and SDK can record worked/failed + conditions (buffer, construct, expression system, instrument, resolution, failure mode). This is the flywheel mechanism.</w:t>
      </w:r>
    </w:p>
    <w:p>
      <w:pPr>
        <w:spacing w:before="180" w:after="40"/>
      </w:pPr>
      <w:r>
        <w:rPr>
          <w:b/>
          <w:color w:val="0B2A4A"/>
          <w:sz w:val="23"/>
        </w:rPr>
        <w:t>Honest traction</w:t>
      </w:r>
    </w:p>
    <w:p>
      <w:pPr>
        <w:pStyle w:val="ListBullet"/>
      </w:pPr>
      <w:r>
        <w:rPr>
          <w:b w:val="0"/>
        </w:rPr>
        <w:t>~836 PyPI downloads (all-time, non-mirror) - a distribution signal, NOT users.</w:t>
      </w:r>
    </w:p>
    <w:p>
      <w:pPr>
        <w:pStyle w:val="ListBullet"/>
      </w:pPr>
      <w:r>
        <w:rPr>
          <w:b w:val="0"/>
          <w:color w:val="B02A37"/>
        </w:rPr>
        <w:t>1 real logged outcome (1 worked, 0 failed). 0 active design-partner labs. Pre-revenue. Pre-entity.</w:t>
      </w:r>
    </w:p>
    <w:p>
      <w:pPr>
        <w:spacing w:before="180" w:after="40"/>
      </w:pPr>
      <w:r>
        <w:rPr>
          <w:b/>
          <w:color w:val="0B2A4A"/>
          <w:sz w:val="23"/>
        </w:rPr>
        <w:t>Stage / valuation now</w:t>
      </w:r>
    </w:p>
    <w:p>
      <w:pPr>
        <w:spacing w:after="100"/>
      </w:pPr>
      <w:r>
        <w:rPr>
          <w:b w:val="0"/>
        </w:rPr>
        <w:t xml:space="preserve">Late pre-seed: product-complete, traction-pending. As a company today (no revenue, no active users, no data moat yet) the honest market value is founder + IP + a working product - i.e. an acqui-hire in the </w:t>
      </w:r>
      <w:r>
        <w:rPr>
          <w:b/>
          <w:color w:val="0B2A4A"/>
        </w:rPr>
        <w:t>~$0-5M</w:t>
      </w:r>
      <w:r>
        <w:rPr>
          <w:b w:val="0"/>
        </w:rPr>
        <w:t xml:space="preserve"> range if sold now, which is exactly why we do NOT sell now. The job of every stage below is to build the asset that moves this number up.</w:t>
      </w:r>
    </w:p>
    <w:p>
      <w:pPr>
        <w:spacing w:before="300" w:after="60"/>
      </w:pPr>
      <w:r>
        <w:rPr>
          <w:b/>
          <w:color w:val="0F7A86"/>
          <w:sz w:val="28"/>
        </w:rPr>
        <w:t>The one metric that runs through every stage</w:t>
      </w:r>
    </w:p>
    <w:p>
      <w:pPr>
        <w:spacing w:before="80" w:after="120"/>
        <w:ind w:left="320"/>
      </w:pPr>
      <w:r>
        <w:rPr>
          <w:i/>
          <w:color w:val="0B2A4A"/>
          <w:sz w:val="23"/>
        </w:rPr>
        <w:t>Real, conditions-annotated experimental outcomes logged by real users. It is today's traction AND the vision's data moat. Every stage below is measured by how much it grows this number.</w:t>
      </w:r>
    </w:p>
    <w:p>
      <w:pPr>
        <w:spacing w:after="100"/>
      </w:pPr>
      <w:r>
        <w:rPr>
          <w:b w:val="0"/>
        </w:rPr>
        <w:t>The vision (the decision layer that tells AI protein-design teams which designs are worth physically testing) is powered entirely by this dataset. So the roadmap is not “build the product, then build the vision.” It is: grow one dataset, and let it carry the company from wedge to decision layer to acquisition.</w:t>
      </w:r>
    </w:p>
    <w:p>
      <w:pPr>
        <w:spacing w:before="300" w:after="60"/>
      </w:pPr>
      <w:r>
        <w:rPr>
          <w:b/>
          <w:color w:val="0F7A86"/>
          <w:sz w:val="28"/>
        </w:rPr>
        <w:t>STAGE 1 - Land the first design partners (NOW -&gt; ~3-6 months)</w:t>
      </w:r>
    </w:p>
    <w:p>
      <w:pPr>
        <w:spacing w:before="180" w:after="40"/>
      </w:pPr>
      <w:r>
        <w:rPr>
          <w:b/>
          <w:color w:val="0B2A4A"/>
          <w:sz w:val="23"/>
        </w:rPr>
        <w:t>Goal</w:t>
      </w:r>
    </w:p>
    <w:p>
      <w:pPr>
        <w:spacing w:after="100"/>
      </w:pPr>
      <w:r>
        <w:rPr>
          <w:b w:val="0"/>
        </w:rPr>
        <w:t>Get the outcome number off zero. One-to-three real users - native-MS labs AND/OR AI protein-design teams - running proteins/designs through NativeReady and logging what happened.</w:t>
      </w:r>
    </w:p>
    <w:p>
      <w:pPr>
        <w:spacing w:before="180" w:after="40"/>
      </w:pPr>
      <w:r>
        <w:rPr>
          <w:b/>
          <w:color w:val="0B2A4A"/>
          <w:sz w:val="23"/>
        </w:rPr>
        <w:t>Steps</w:t>
      </w:r>
    </w:p>
    <w:p>
      <w:pPr>
        <w:pStyle w:val="ListNumber"/>
      </w:pPr>
      <w:r>
        <w:rPr>
          <w:b/>
        </w:rPr>
        <w:t xml:space="preserve">Outreach cadence: </w:t>
      </w:r>
      <w:r>
        <w:rPr>
          <w:b w:val="0"/>
        </w:rPr>
        <w:t>one personalized touch per day to a native-MS lab, core facility, or protein-design team. Persistent, personal, not a blast. This is a numbers game.</w:t>
      </w:r>
    </w:p>
    <w:p>
      <w:pPr>
        <w:pStyle w:val="ListNumber"/>
      </w:pPr>
      <w:r>
        <w:rPr>
          <w:b/>
        </w:rPr>
        <w:t xml:space="preserve">Convert warm threads: </w:t>
      </w:r>
      <w:r>
        <w:rPr>
          <w:b w:val="0"/>
        </w:rPr>
        <w:t>NUtech (IP), Ryan Anderson + Kevin Thompson (UNL ecosystem), Shaw (UNL native MS), Insoo, and any design-company contact. Move each one concrete step per week.</w:t>
      </w:r>
    </w:p>
    <w:p>
      <w:pPr>
        <w:pStyle w:val="ListNumber"/>
      </w:pPr>
      <w:r>
        <w:rPr>
          <w:b/>
        </w:rPr>
        <w:t xml:space="preserve">Instrument the loop: </w:t>
      </w:r>
      <w:r>
        <w:rPr>
          <w:b w:val="0"/>
        </w:rPr>
        <w:t>make sure every design partner logs outcomes with conditions. A user who does not report back does not build the moat. Add the technique field to the outcome log so data is captured technique-agnostically from day one.</w:t>
      </w:r>
    </w:p>
    <w:p>
      <w:pPr>
        <w:pStyle w:val="ListNumber"/>
      </w:pPr>
      <w:r>
        <w:rPr>
          <w:b/>
        </w:rPr>
        <w:t xml:space="preserve">Watch the scoreboard: </w:t>
      </w:r>
      <w:r>
        <w:rPr>
          <w:b w:val="0"/>
        </w:rPr>
        <w:t>check_outcomes.sh. The day worked/failed moves off zero is the first real milestone.</w:t>
      </w:r>
    </w:p>
    <w:p>
      <w:pPr>
        <w:spacing w:before="180" w:after="40"/>
      </w:pPr>
      <w:r>
        <w:rPr>
          <w:b/>
          <w:color w:val="0B2A4A"/>
          <w:sz w:val="23"/>
        </w:rPr>
        <w:t>Money</w:t>
      </w:r>
    </w:p>
    <w:p>
      <w:pPr>
        <w:pStyle w:val="ListBullet"/>
      </w:pPr>
      <w:r>
        <w:rPr>
          <w:b/>
        </w:rPr>
        <w:t xml:space="preserve">Cost to run this stage: </w:t>
      </w:r>
      <w:r>
        <w:rPr>
          <w:b w:val="0"/>
        </w:rPr>
        <w:t>near zero (hosting + your time). Non-dilutive grants can cover it - Nebraska SBIR-match, prototype grants, pitch-competition cash.</w:t>
      </w:r>
    </w:p>
    <w:p>
      <w:pPr>
        <w:pStyle w:val="ListBullet"/>
      </w:pPr>
      <w:r>
        <w:rPr>
          <w:b/>
        </w:rPr>
        <w:t xml:space="preserve">Value created: </w:t>
      </w:r>
      <w:r>
        <w:rPr>
          <w:b w:val="0"/>
        </w:rPr>
        <w:t>the first logged outcomes convert the company from “idea with a tool” to “early traction.” This is the single biggest jump in credibility you will make.</w:t>
      </w:r>
    </w:p>
    <w:p>
      <w:pPr>
        <w:spacing w:before="80" w:after="120"/>
        <w:ind w:left="320"/>
      </w:pPr>
      <w:r>
        <w:rPr>
          <w:i/>
          <w:color w:val="1E7A33"/>
          <w:sz w:val="23"/>
        </w:rPr>
        <w:t>Milestone that ends Stage 1: at least one active user logging real outcomes. Everything - funding, the next YC application, investor conversations - gets easier the moment this exists.</w:t>
      </w:r>
    </w:p>
    <w:p>
      <w:pPr>
        <w:spacing w:before="300" w:after="60"/>
      </w:pPr>
      <w:r>
        <w:rPr>
          <w:b/>
          <w:color w:val="0F7A86"/>
          <w:sz w:val="28"/>
        </w:rPr>
        <w:t>STAGE 2 - Turn the wedge into the decision layer (~6-18 months)</w:t>
      </w:r>
    </w:p>
    <w:p>
      <w:pPr>
        <w:spacing w:before="180" w:after="40"/>
      </w:pPr>
      <w:r>
        <w:rPr>
          <w:b/>
          <w:color w:val="0B2A4A"/>
          <w:sz w:val="23"/>
        </w:rPr>
        <w:t>Goal</w:t>
      </w:r>
    </w:p>
    <w:p>
      <w:pPr>
        <w:spacing w:after="100"/>
      </w:pPr>
      <w:r>
        <w:rPr>
          <w:b w:val="0"/>
        </w:rPr>
        <w:t>Generalize from “native-MS triage” to “which designs are worth testing?” and make it the API a protein-design pipeline calls. This is the near-term vision - doable because the customers (dozens of protein-design companies) already exist and share the same bottleneck.</w:t>
      </w:r>
    </w:p>
    <w:p>
      <w:pPr>
        <w:spacing w:before="180" w:after="40"/>
      </w:pPr>
      <w:r>
        <w:rPr>
          <w:b/>
          <w:color w:val="0B2A4A"/>
          <w:sz w:val="23"/>
        </w:rPr>
        <w:t>Steps</w:t>
      </w:r>
    </w:p>
    <w:p>
      <w:pPr>
        <w:pStyle w:val="ListNumber"/>
      </w:pPr>
      <w:r>
        <w:rPr>
          <w:b/>
        </w:rPr>
        <w:t xml:space="preserve">2a - Decision endpoint: </w:t>
      </w:r>
      <w:r>
        <w:rPr>
          <w:b w:val="0"/>
        </w:rPr>
        <w:t>keep the API clean, documented, batch-capable so a design pipeline can POST many sequences and get scores + flags back. Mostly already built.</w:t>
      </w:r>
    </w:p>
    <w:p>
      <w:pPr>
        <w:pStyle w:val="ListNumber"/>
      </w:pPr>
      <w:r>
        <w:rPr>
          <w:b/>
        </w:rPr>
        <w:t xml:space="preserve">2b - Add one non-native-MS signal: </w:t>
      </w:r>
      <w:r>
        <w:rPr>
          <w:b w:val="0"/>
        </w:rPr>
        <w:t>a general developability/aggregation-risk or expressibility score, so triage answers a question broader than one assay. This is the real technical work that makes it a decision layer. Let the first design-company partner pull which signal to build first.</w:t>
      </w:r>
    </w:p>
    <w:p>
      <w:pPr>
        <w:pStyle w:val="ListNumber"/>
      </w:pPr>
      <w:r>
        <w:rPr>
          <w:b/>
        </w:rPr>
        <w:t xml:space="preserve">2c - Land a design-company design partner: </w:t>
      </w:r>
      <w:r>
        <w:rPr>
          <w:b w:val="0"/>
        </w:rPr>
        <w:t>a protein-design team that runs your API over a batch and reports which they tested and what happened. Their outcomes feed the moat; their name is worth more than any pitch.</w:t>
      </w:r>
    </w:p>
    <w:p>
      <w:pPr>
        <w:spacing w:before="180" w:after="40"/>
      </w:pPr>
      <w:r>
        <w:rPr>
          <w:b/>
          <w:color w:val="0B2A4A"/>
          <w:sz w:val="23"/>
        </w:rPr>
        <w:t>Money</w:t>
      </w:r>
    </w:p>
    <w:p>
      <w:pPr>
        <w:pStyle w:val="ListBullet"/>
      </w:pPr>
      <w:r>
        <w:rPr>
          <w:b/>
        </w:rPr>
        <w:t xml:space="preserve">Funding needed: </w:t>
      </w:r>
      <w:r>
        <w:rPr>
          <w:b w:val="0"/>
        </w:rPr>
        <w:t>this is the stage a pre-seed raise ($250K-750K) funds - founder runway + one or two hires + compute, ~12-18 months. Nebraska/angel/pre-seed sources, or a repeat YC application now backed by real logged outcomes.</w:t>
      </w:r>
    </w:p>
    <w:p>
      <w:pPr>
        <w:pStyle w:val="ListBullet"/>
      </w:pPr>
      <w:r>
        <w:rPr>
          <w:b/>
        </w:rPr>
        <w:t xml:space="preserve">First revenue possible: </w:t>
      </w:r>
      <w:r>
        <w:rPr>
          <w:b w:val="0"/>
        </w:rPr>
        <w:t>design companies and biopharma groups paying to run the API - facility ~$5K/yr, biopharma team ~$15-40K/yr. Early ARR ~$50-300K.</w:t>
      </w:r>
    </w:p>
    <w:p>
      <w:pPr>
        <w:pStyle w:val="ListBullet"/>
      </w:pPr>
      <w:r>
        <w:rPr>
          <w:b/>
        </w:rPr>
        <w:t xml:space="preserve">Company value at end of Stage 2: </w:t>
      </w:r>
      <w:r>
        <w:rPr>
          <w:b w:val="0"/>
        </w:rPr>
        <w:t xml:space="preserve">with a real cross-technique outcome dataset + early ARR + multiple active users, the company is a credible seed-stage asset. Acquisition interest (early, opportunistic) would be in the </w:t>
      </w:r>
      <w:r>
        <w:rPr>
          <w:b/>
          <w:color w:val="0B2A4A"/>
        </w:rPr>
        <w:t>~$10-40M</w:t>
      </w:r>
      <w:r>
        <w:rPr>
          <w:b w:val="0"/>
        </w:rPr>
        <w:t xml:space="preserve"> range - driven by the dataset, not the revenue.</w:t>
      </w:r>
    </w:p>
    <w:p>
      <w:pPr>
        <w:spacing w:before="300" w:after="60"/>
      </w:pPr>
      <w:r>
        <w:rPr>
          <w:b/>
          <w:color w:val="0F7A86"/>
          <w:sz w:val="28"/>
        </w:rPr>
        <w:t>STAGE 3 - The decision layer at scale + platform expansion (~2-4 years)</w:t>
      </w:r>
    </w:p>
    <w:p>
      <w:pPr>
        <w:spacing w:before="180" w:after="40"/>
      </w:pPr>
      <w:r>
        <w:rPr>
          <w:b/>
          <w:color w:val="0B2A4A"/>
          <w:sz w:val="23"/>
        </w:rPr>
        <w:t>Goal</w:t>
      </w:r>
    </w:p>
    <w:p>
      <w:pPr>
        <w:spacing w:after="100"/>
      </w:pPr>
      <w:r>
        <w:rPr>
          <w:b w:val="0"/>
        </w:rPr>
        <w:t>Be the layer multiple design pipelines route through. The dataset is now large (thousands to tens of thousands of conditions-annotated outcomes across techniques) and compounding. Begin the horizontal expansion toward the broader QC/observability platform (developability, formulation/aggregation, and - later, as a regulated Phase - manufacturing QC and LIMS integration).</w:t>
      </w:r>
    </w:p>
    <w:p>
      <w:pPr>
        <w:spacing w:before="180" w:after="40"/>
      </w:pPr>
      <w:r>
        <w:rPr>
          <w:b/>
          <w:color w:val="0B2A4A"/>
          <w:sz w:val="23"/>
        </w:rPr>
        <w:t>Steps</w:t>
      </w:r>
    </w:p>
    <w:p>
      <w:pPr>
        <w:pStyle w:val="ListBullet"/>
      </w:pPr>
      <w:r>
        <w:rPr>
          <w:b w:val="0"/>
        </w:rPr>
        <w:t>Expand technique coverage (cryo-EM screening, HDX-MS, aggregation) as customers demand - one at a time, customer-pulled.</w:t>
      </w:r>
    </w:p>
    <w:p>
      <w:pPr>
        <w:pStyle w:val="ListBullet"/>
      </w:pPr>
      <w:r>
        <w:rPr>
          <w:b w:val="0"/>
        </w:rPr>
        <w:t>Deepen from “will it work?” to “what makes it work?” - condition/recipe prediction, using the accumulated conditions data.</w:t>
      </w:r>
    </w:p>
    <w:p>
      <w:pPr>
        <w:pStyle w:val="ListBullet"/>
      </w:pPr>
      <w:r>
        <w:rPr>
          <w:b w:val="0"/>
        </w:rPr>
        <w:t>Grow ARR into the $1-3M+ range across design companies and biopharma groups.</w:t>
      </w:r>
    </w:p>
    <w:p>
      <w:pPr>
        <w:pStyle w:val="ListBullet"/>
      </w:pPr>
      <w:r>
        <w:rPr>
          <w:b w:val="0"/>
        </w:rPr>
        <w:t>Keep the data moat unique and defensible - failures included, which no public source has.</w:t>
      </w:r>
    </w:p>
    <w:p>
      <w:pPr>
        <w:spacing w:before="180" w:after="40"/>
      </w:pPr>
      <w:r>
        <w:rPr>
          <w:b/>
          <w:color w:val="0B2A4A"/>
          <w:sz w:val="23"/>
        </w:rPr>
        <w:t>Money</w:t>
      </w:r>
    </w:p>
    <w:p>
      <w:pPr>
        <w:pStyle w:val="ListBullet"/>
      </w:pPr>
      <w:r>
        <w:rPr>
          <w:b/>
        </w:rPr>
        <w:t xml:space="preserve">Funding: </w:t>
      </w:r>
      <w:r>
        <w:rPr>
          <w:b w:val="0"/>
        </w:rPr>
        <w:t>a seed / Series A ($1M-10M) funds this scale-up if pursued - but revenue + strategic interest may make it optional.</w:t>
      </w:r>
    </w:p>
    <w:p>
      <w:pPr>
        <w:pStyle w:val="ListBullet"/>
      </w:pPr>
      <w:r>
        <w:rPr>
          <w:b/>
        </w:rPr>
        <w:t xml:space="preserve">Company value: </w:t>
      </w:r>
      <w:r>
        <w:rPr>
          <w:b w:val="0"/>
        </w:rPr>
        <w:t xml:space="preserve">with $1-3M ARR + a genuinely unique cross-technique dataset + a strategic workflow position, acquisition value is in the </w:t>
      </w:r>
      <w:r>
        <w:rPr>
          <w:b/>
          <w:color w:val="0B2A4A"/>
        </w:rPr>
        <w:t>~$30-80M+</w:t>
      </w:r>
      <w:r>
        <w:rPr>
          <w:b w:val="0"/>
        </w:rPr>
        <w:t xml:space="preserve"> range - a premium over any revenue multiple because the dataset itself is the prize. This is the realistic strong-execution target.</w:t>
      </w:r>
    </w:p>
    <w:p>
      <w:pPr>
        <w:spacing w:before="300" w:after="60"/>
      </w:pPr>
      <w:r>
        <w:rPr>
          <w:b/>
          <w:color w:val="0F7A86"/>
          <w:sz w:val="28"/>
        </w:rPr>
        <w:t>STAGE 4 - Acquisition (the exit)</w:t>
      </w:r>
    </w:p>
    <w:p>
      <w:pPr>
        <w:spacing w:before="180" w:after="40"/>
      </w:pPr>
      <w:r>
        <w:rPr>
          <w:b/>
          <w:color w:val="0B2A4A"/>
          <w:sz w:val="23"/>
        </w:rPr>
        <w:t>What an acquirer is buying</w:t>
      </w:r>
    </w:p>
    <w:p>
      <w:pPr>
        <w:pStyle w:val="ListBullet"/>
      </w:pPr>
      <w:r>
        <w:rPr>
          <w:b/>
        </w:rPr>
        <w:t xml:space="preserve">A proprietary data asset </w:t>
      </w:r>
      <w:r>
        <w:rPr>
          <w:b w:val="0"/>
        </w:rPr>
        <w:t>(conditions-annotated real outcomes, failures included) no competitor or public source has.</w:t>
      </w:r>
    </w:p>
    <w:p>
      <w:pPr>
        <w:pStyle w:val="ListBullet"/>
      </w:pPr>
      <w:r>
        <w:rPr>
          <w:b/>
        </w:rPr>
        <w:t xml:space="preserve">A strategic workflow position </w:t>
      </w:r>
      <w:r>
        <w:rPr>
          <w:b w:val="0"/>
        </w:rPr>
        <w:t>(the decide-what-to-test layer between AI design and the wet lab) in the direction the whole field is moving.</w:t>
      </w:r>
    </w:p>
    <w:p>
      <w:pPr>
        <w:pStyle w:val="ListBullet"/>
      </w:pPr>
      <w:r>
        <w:rPr>
          <w:b/>
        </w:rPr>
        <w:t xml:space="preserve">A defensible prediction capability </w:t>
      </w:r>
      <w:r>
        <w:rPr>
          <w:b w:val="0"/>
        </w:rPr>
        <w:t>(models calibrated on that data + the original physics-based failure-mode simulators).</w:t>
      </w:r>
    </w:p>
    <w:p>
      <w:pPr>
        <w:spacing w:before="180" w:after="40"/>
      </w:pPr>
      <w:r>
        <w:rPr>
          <w:b/>
          <w:color w:val="0B2A4A"/>
          <w:sz w:val="23"/>
        </w:rPr>
        <w:t>Who buys it, and why</w:t>
      </w:r>
    </w:p>
    <w:p>
      <w:pPr>
        <w:pStyle w:val="ListBullet"/>
      </w:pPr>
      <w:r>
        <w:rPr>
          <w:b/>
        </w:rPr>
        <w:t xml:space="preserve">Instrument makers (Thermo Fisher, Waters, Bruker, SCIEX): </w:t>
      </w:r>
      <w:r>
        <w:rPr>
          <w:b w:val="0"/>
        </w:rPr>
        <w:t>owning the triage layer makes their instruments more productive and locks in workflow. Precedent: Thermo/Core Informatics, Waters/Nonlinear Dynamics.</w:t>
      </w:r>
    </w:p>
    <w:p>
      <w:pPr>
        <w:pStyle w:val="ListBullet"/>
      </w:pPr>
      <w:r>
        <w:rPr>
          <w:b/>
        </w:rPr>
        <w:t xml:space="preserve">Scientific-software / informatics platforms (Dotmatics, Genedata, Benchling-class): </w:t>
      </w:r>
      <w:r>
        <w:rPr>
          <w:b w:val="0"/>
        </w:rPr>
        <w:t>a predictive decision layer with a unique dataset is a natural, high-value addition to a data/ELN/LIMS platform - and LIMS integration makes buying you the obvious move.</w:t>
      </w:r>
    </w:p>
    <w:p>
      <w:pPr>
        <w:pStyle w:val="ListBullet"/>
      </w:pPr>
      <w:r>
        <w:rPr>
          <w:b/>
        </w:rPr>
        <w:t xml:space="preserve">AI-bio / automated-lab platforms (Adaptyv-class, agentic-biology wave): </w:t>
      </w:r>
      <w:r>
        <w:rPr>
          <w:b w:val="0"/>
        </w:rPr>
        <w:t>the decision node between design and build is core infrastructure for an autonomous loop.</w:t>
      </w:r>
    </w:p>
    <w:p>
      <w:pPr>
        <w:spacing w:before="180" w:after="40"/>
      </w:pPr>
      <w:r>
        <w:rPr>
          <w:b/>
          <w:color w:val="0B2A4A"/>
          <w:sz w:val="23"/>
        </w:rPr>
        <w:t>Estimated acquisition value by outcome</w:t>
      </w:r>
    </w:p>
    <w:p>
      <w:pPr>
        <w:pStyle w:val="ListBullet"/>
      </w:pPr>
      <w:r>
        <w:rPr>
          <w:b/>
        </w:rPr>
        <w:t xml:space="preserve">Wedge only (single technique, modest traction): </w:t>
      </w:r>
      <w:r>
        <w:rPr>
          <w:b/>
          <w:color w:val="0B2A4A"/>
        </w:rPr>
        <w:t>~$5-20M</w:t>
      </w:r>
      <w:r>
        <w:rPr>
          <w:b w:val="0"/>
        </w:rPr>
        <w:t xml:space="preserve"> tuck-in / acqui-hire.</w:t>
      </w:r>
    </w:p>
    <w:p>
      <w:pPr>
        <w:pStyle w:val="ListBullet"/>
      </w:pPr>
      <w:r>
        <w:rPr>
          <w:b/>
        </w:rPr>
        <w:t xml:space="preserve">Decision layer with a real data moat (~$1-3M ARR, unique cross-technique dataset): </w:t>
      </w:r>
      <w:r>
        <w:rPr>
          <w:b/>
          <w:color w:val="0B2A4A"/>
        </w:rPr>
        <w:t>~$30-80M</w:t>
      </w:r>
      <w:r>
        <w:rPr>
          <w:b w:val="0"/>
        </w:rPr>
        <w:t xml:space="preserve"> - the realistic strong-execution target.</w:t>
      </w:r>
    </w:p>
    <w:p>
      <w:pPr>
        <w:pStyle w:val="ListBullet"/>
      </w:pPr>
      <w:r>
        <w:rPr>
          <w:b/>
        </w:rPr>
        <w:t xml:space="preserve">Full platform vision (QC/observability infrastructure, strategic position, bidding tension): </w:t>
      </w:r>
      <w:r>
        <w:rPr>
          <w:b/>
          <w:color w:val="1E7A33"/>
        </w:rPr>
        <w:t>$100-500M+</w:t>
      </w:r>
      <w:r>
        <w:rPr>
          <w:b w:val="0"/>
        </w:rPr>
        <w:t xml:space="preserve"> - the ceiling case, requiring the full vision to be real and ideally two buyers who both need it.</w:t>
      </w:r>
    </w:p>
    <w:p>
      <w:pPr>
        <w:spacing w:before="80" w:after="120"/>
        <w:ind w:left="320"/>
      </w:pPr>
      <w:r>
        <w:rPr>
          <w:i/>
          <w:color w:val="556666"/>
          <w:sz w:val="23"/>
        </w:rPr>
        <w:t>Comps anchor (reported, not independently audited): Blue Reference ~$14M (2012), Nonlinear Dynamics ~$23M (2013), Core Informatics ~$94M / ~$10M rev (2017), Finesse ~$220M / ~$50M rev (2017). Those were post-hoc data tools WITHOUT a proprietary predictive dataset - which is why a decision layer that owns its data can command a premium over these.</w:t>
      </w:r>
    </w:p>
    <w:p>
      <w:pPr>
        <w:spacing w:before="300" w:after="60"/>
      </w:pPr>
      <w:r>
        <w:rPr>
          <w:b/>
          <w:color w:val="0F7A86"/>
          <w:sz w:val="28"/>
        </w:rPr>
        <w:t>The whole ladder on one page</w:t>
      </w:r>
    </w:p>
    <w:p>
      <w:pPr>
        <w:pStyle w:val="ListBullet"/>
      </w:pPr>
      <w:r>
        <w:rPr>
          <w:b/>
          <w:color w:val="0B2A4A"/>
        </w:rPr>
        <w:t xml:space="preserve">STAGE 0 (now): </w:t>
      </w:r>
      <w:r>
        <w:rPr>
          <w:b w:val="0"/>
        </w:rPr>
        <w:t>native-MS triage, live, 1 outcome -&gt; value ~$0-5M (acqui-hire, do NOT sell)</w:t>
      </w:r>
    </w:p>
    <w:p>
      <w:pPr>
        <w:pStyle w:val="ListBullet"/>
      </w:pPr>
      <w:r>
        <w:rPr>
          <w:b/>
          <w:color w:val="0B2A4A"/>
        </w:rPr>
        <w:t xml:space="preserve">STAGE 1 (3-6 mo): </w:t>
      </w:r>
      <w:r>
        <w:rPr>
          <w:b w:val="0"/>
        </w:rPr>
        <w:t>first design partners logging real outcomes -&gt; traction exists</w:t>
      </w:r>
    </w:p>
    <w:p>
      <w:pPr>
        <w:pStyle w:val="ListBullet"/>
      </w:pPr>
      <w:r>
        <w:rPr>
          <w:b/>
          <w:color w:val="0B2A4A"/>
        </w:rPr>
        <w:t xml:space="preserve">STAGE 2 (6-18 mo): </w:t>
      </w:r>
      <w:r>
        <w:rPr>
          <w:b w:val="0"/>
        </w:rPr>
        <w:t>decision layer + first revenue ($50-300K ARR) -&gt; value ~$10-40M</w:t>
      </w:r>
    </w:p>
    <w:p>
      <w:pPr>
        <w:pStyle w:val="ListBullet"/>
      </w:pPr>
      <w:r>
        <w:rPr>
          <w:b/>
          <w:color w:val="0B2A4A"/>
        </w:rPr>
        <w:t xml:space="preserve">STAGE 3 (2-4 yr): </w:t>
      </w:r>
      <w:r>
        <w:rPr>
          <w:b w:val="0"/>
        </w:rPr>
        <w:t>decision layer at scale ($1-3M ARR, unique dataset) -&gt; value ~$30-80M+</w:t>
      </w:r>
    </w:p>
    <w:p>
      <w:pPr>
        <w:pStyle w:val="ListBullet"/>
      </w:pPr>
      <w:r>
        <w:rPr>
          <w:b/>
          <w:color w:val="0B2A4A"/>
        </w:rPr>
        <w:t xml:space="preserve">STAGE 4 (exit): </w:t>
      </w:r>
      <w:r>
        <w:rPr>
          <w:b w:val="0"/>
        </w:rPr>
        <w:t>acquisition; $30-80M realistic strong case, $100-500M+ full-vision ceiling</w:t>
      </w:r>
    </w:p>
    <w:p>
      <w:pPr>
        <w:spacing w:before="80" w:after="120"/>
        <w:ind w:left="320"/>
      </w:pPr>
      <w:r>
        <w:rPr>
          <w:i/>
          <w:color w:val="1E7A33"/>
          <w:sz w:val="23"/>
        </w:rPr>
        <w:t>The number always follows the data moat. You do not optimize for the valuation - you optimize for real logged outcomes, and the valuation follows. That is why the daily work never changes: land a user, log an outcome, repeat.</w:t>
      </w:r>
    </w:p>
    <w:p>
      <w:pPr>
        <w:spacing w:before="300" w:after="60"/>
      </w:pPr>
      <w:r>
        <w:rPr>
          <w:b/>
          <w:color w:val="B02A37"/>
          <w:sz w:val="28"/>
        </w:rPr>
        <w:t>Honesty guardrails (carry these through every stage)</w:t>
      </w:r>
    </w:p>
    <w:p>
      <w:pPr>
        <w:pStyle w:val="ListBullet"/>
      </w:pPr>
      <w:r>
        <w:rPr>
          <w:b/>
        </w:rPr>
        <w:t xml:space="preserve">Lead with what is real. </w:t>
      </w:r>
      <w:r>
        <w:rPr>
          <w:b w:val="0"/>
        </w:rPr>
        <w:t>Today = native-MS triage. The decision layer and the platform are horizon; say them in future tense, never as current capability.</w:t>
      </w:r>
    </w:p>
    <w:p>
      <w:pPr>
        <w:pStyle w:val="ListBullet"/>
      </w:pPr>
      <w:r>
        <w:rPr>
          <w:b/>
        </w:rPr>
        <w:t xml:space="preserve">Do not build Phase 2/3 features before you have a Stage-1 user. </w:t>
      </w:r>
      <w:r>
        <w:rPr>
          <w:b w:val="0"/>
        </w:rPr>
        <w:t>Building the platform before one active user of the wedge is how startups die.</w:t>
      </w:r>
    </w:p>
    <w:p>
      <w:pPr>
        <w:pStyle w:val="ListBullet"/>
      </w:pPr>
      <w:r>
        <w:rPr>
          <w:b/>
        </w:rPr>
        <w:t xml:space="preserve">Re-ground external numbers. </w:t>
      </w:r>
      <w:r>
        <w:rPr>
          <w:b w:val="0"/>
        </w:rPr>
        <w:t>The dollar figures here are reasoned bands; verify comps and any market stat before putting them on a slide or in a data room.</w:t>
      </w:r>
    </w:p>
    <w:p>
      <w:pPr>
        <w:pStyle w:val="ListBullet"/>
      </w:pPr>
      <w:r>
        <w:rPr>
          <w:b/>
        </w:rPr>
        <w:t xml:space="preserve">The moat is logged outcomes, not downloads. </w:t>
      </w:r>
      <w:r>
        <w:rPr>
          <w:b w:val="0"/>
        </w:rPr>
        <w:t>Measure yourself on real worked/failed records and active users - nothing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