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left"/>
      </w:pPr>
      <w:r>
        <w:rPr>
          <w:rFonts w:ascii="Times New Roman" w:hAnsi="Times New Roman"/>
          <w:color w:val="808080"/>
          <w:sz w:val="20"/>
        </w:rPr>
        <w:t>Running head: SURPRISE SIGNATURES IN HUMAN EEG</w:t>
      </w:r>
    </w:p>
    <w:p>
      <w:pPr>
        <w:spacing w:after="240"/>
        <w:jc w:val="center"/>
      </w:pPr>
      <w:r>
        <w:rPr>
          <w:rFonts w:ascii="Times New Roman" w:hAnsi="Times New Roman"/>
          <w:b/>
          <w:sz w:val="28"/>
        </w:rPr>
        <w:t>Stochastic Surprise Signatures in Human EEG:</w:t>
        <w:br/>
        <w:t>A Reproducible Benchmark of Prediction-Error Models</w:t>
        <w:br/>
        <w:t>Using the ERP CORE Oddball Dataset</w:t>
      </w:r>
    </w:p>
    <w:p>
      <w:pPr>
        <w:jc w:val="center"/>
      </w:pPr>
      <w:r>
        <w:rPr>
          <w:rFonts w:ascii="Times New Roman" w:hAnsi="Times New Roman"/>
          <w:sz w:val="24"/>
        </w:rPr>
        <w:t>Brhanu F. Znabu</w:t>
      </w:r>
      <w:r>
        <w:rPr>
          <w:rFonts w:ascii="Times New Roman" w:hAnsi="Times New Roman"/>
          <w:sz w:val="20"/>
          <w:vertAlign w:val="superscript"/>
        </w:rPr>
        <w:t>1*</w:t>
      </w:r>
      <w:r>
        <w:rPr>
          <w:rFonts w:ascii="Times New Roman" w:hAnsi="Times New Roman"/>
          <w:sz w:val="24"/>
        </w:rPr>
        <w:t>, Zohaib Atif</w:t>
      </w:r>
      <w:r>
        <w:rPr>
          <w:rFonts w:ascii="Times New Roman" w:hAnsi="Times New Roman"/>
          <w:sz w:val="20"/>
          <w:vertAlign w:val="superscript"/>
        </w:rPr>
        <w:t>2</w:t>
      </w:r>
      <w:r>
        <w:rPr>
          <w:rFonts w:ascii="Times New Roman" w:hAnsi="Times New Roman"/>
          <w:sz w:val="24"/>
        </w:rPr>
        <w:t>, Pradeep Devkota</w:t>
      </w:r>
      <w:r>
        <w:rPr>
          <w:rFonts w:ascii="Times New Roman" w:hAnsi="Times New Roman"/>
          <w:sz w:val="20"/>
          <w:vertAlign w:val="superscript"/>
        </w:rPr>
        <w:t>3</w:t>
      </w:r>
    </w:p>
    <w:p>
      <w:pPr>
        <w:jc w:val="center"/>
      </w:pPr>
      <w:r>
        <w:rPr>
          <w:rFonts w:ascii="Times New Roman" w:hAnsi="Times New Roman"/>
          <w:sz w:val="20"/>
        </w:rPr>
        <w:t>¹Biomedical Engineering Program, College of Engineering, University of Nebraska-Lincoln, Lincoln, NE 68588-0642, USA.</w:t>
      </w:r>
    </w:p>
    <w:p>
      <w:pPr>
        <w:jc w:val="center"/>
      </w:pPr>
      <w:r>
        <w:rPr>
          <w:rFonts w:ascii="Times New Roman" w:hAnsi="Times New Roman"/>
          <w:sz w:val="20"/>
        </w:rPr>
        <w:t>²Department of Biomedical Science and Engineering, Gwangju 61005, South Korea</w:t>
      </w:r>
    </w:p>
    <w:p>
      <w:pPr>
        <w:jc w:val="center"/>
      </w:pPr>
      <w:r>
        <w:rPr>
          <w:rFonts w:ascii="Times New Roman" w:hAnsi="Times New Roman"/>
          <w:sz w:val="20"/>
        </w:rPr>
        <w:t>³School of Biomedical Science, University of Kansas Medical Center, Kansas City, KS 66160, USA</w:t>
      </w:r>
    </w:p>
    <w:p>
      <w:pPr>
        <w:spacing w:after="0" w:before="0"/>
      </w:pPr>
    </w:p>
    <w:p>
      <w:pPr>
        <w:jc w:val="left"/>
      </w:pPr>
      <w:r>
        <w:rPr>
          <w:rFonts w:ascii="Times New Roman" w:hAnsi="Times New Roman"/>
          <w:sz w:val="20"/>
        </w:rPr>
        <w:t>Corresponding author: Brhanu F. Znabu, 25674436@nebraska.edu, ORCID: 0009-0009-7230-754X</w:t>
      </w:r>
    </w:p>
    <w:p>
      <w:pPr>
        <w:spacing w:after="0" w:before="0"/>
      </w:pPr>
    </w:p>
    <w:p>
      <w:r>
        <w:rPr>
          <w:rFonts w:ascii="Times New Roman" w:hAnsi="Times New Roman"/>
          <w:b/>
          <w:sz w:val="20"/>
        </w:rPr>
        <w:t xml:space="preserve">Keywords: </w:t>
      </w:r>
      <w:r>
        <w:rPr>
          <w:rFonts w:ascii="Times New Roman" w:hAnsi="Times New Roman"/>
          <w:sz w:val="20"/>
        </w:rPr>
        <w:t>prediction error, surprise, mismatch negativity, P3b, Bayesian inference, EEG</w:t>
      </w:r>
    </w:p>
    <w:p>
      <w:pPr>
        <w:spacing w:after="0" w:before="0"/>
      </w:pPr>
    </w:p>
    <w:p>
      <w:pPr>
        <w:pStyle w:val="Heading1"/>
      </w:pPr>
      <w:r>
        <w:rPr>
          <w:rFonts w:ascii="Times New Roman" w:hAnsi="Times New Roman"/>
          <w:color w:val="000000"/>
        </w:rPr>
        <w:t>Abstract</w:t>
      </w:r>
    </w:p>
    <w:p>
      <w:pPr>
        <w:ind w:firstLine="0"/>
      </w:pPr>
      <w:r>
        <w:rPr>
          <w:rFonts w:ascii="Times New Roman" w:hAnsi="Times New Roman"/>
          <w:sz w:val="24"/>
        </w:rPr>
        <w:t>The brain continuously generates predictions about incoming sensory input and produces characteristic neural responses when those predictions are violated. In EEG oddball paradigms, these prediction-error responses manifest as the mismatch negativity (MMN) and P3b components. However, “surprise” can be formalized in multiple ways, and no prior study has systematically compared these formulations on the same dataset using single-trial methods. Here, we implemented four hierarchical surprise estimators and applied them to the ERP CORE dataset (N = 40; N = 38 analyzed for MMN, N = 36 for P3 after exclusions; auditory MMN and visual P3 paradigms). Using linear mixed-effects encoding models, we found that Bayesian surprise, quantifying the magnitude of belief revision, showed the strongest association with single-trial MMN amplitude among all models tested (uncorrected p = 0.015), though this did not survive Holm–Bonferroni correction for multiple comparisons (p_corrected = 0.062). In the P3 paradigm, change-point surprise (uncorrected p = 0.017, p_corrected = 0.069) and Bayesian surprise (uncorrected p = 0.044, p_corrected = 0.131) showed trends in the P3b window but likewise did not survive correction. High multicollinearity among Shannon-based and change-point surprise regressors (VIF &gt; 70) limited the interpretability of direct model comparisons. All partial R² values were extremely small (&lt;0.02%), and cross-validated prediction showed no real gain over stimulus class alone. In a decoding analysis, contextual surprise features (residualized against stimulus type) did not improve cross-subject classification of stimulus class beyond ERP amplitude features alone (ΔAUC = −0.093). We conclude that Bayesian surprise shows the strongest trend among competing models, but that stationary oddball paradigms lack the model identifiability needed to definitively distinguish surprise formulations due to high regressor multicollinearity. All data, code, and analysis pipelines are publicly available.</w:t>
      </w:r>
    </w:p>
    <w:p>
      <w:pPr>
        <w:pStyle w:val="Heading1"/>
      </w:pPr>
      <w:r>
        <w:rPr>
          <w:rFonts w:ascii="Times New Roman" w:hAnsi="Times New Roman"/>
          <w:color w:val="000000"/>
        </w:rPr>
        <w:t>1. Introduction</w:t>
      </w:r>
    </w:p>
    <w:p>
      <w:pPr>
        <w:ind w:firstLine="720"/>
      </w:pPr>
      <w:r>
        <w:rPr>
          <w:rFonts w:ascii="Times New Roman" w:hAnsi="Times New Roman"/>
          <w:sz w:val="24"/>
        </w:rPr>
        <w:t>The brain has been characterized as a prediction machine that continuously generates expectations about incoming sensory input and updates internal models when those expectations are violated (Rao &amp; Ballard, 1999; Friston, 2005). This predictive processing framework provides a unifying account of perception, attention, and learning, proposing that neural activity primarily encodes the discrepancy between predicted and observed events — the prediction error.</w:t>
      </w:r>
    </w:p>
    <w:p>
      <w:pPr>
        <w:ind w:firstLine="720"/>
      </w:pPr>
      <w:r>
        <w:rPr>
          <w:rFonts w:ascii="Times New Roman" w:hAnsi="Times New Roman"/>
          <w:sz w:val="24"/>
        </w:rPr>
        <w:t>Oddball paradigms offer the cleanest experimental window into neural prediction-error processing. In these paradigms, rare deviant stimuli are embedded among frequent standard stimuli, and the brain produces characteristic electrophysiological responses to the deviants. The mismatch negativity (MMN) is an early fronto-central ERP component (100–250 ms post-stimulus) reflecting automatic detection of auditory deviance, thought to arise from prediction-error signals in auditory cortex (Näätänen et al., 2007). The P3b is a later parietal component (250–500 ms) reflecting context updating, attention allocation, and the conscious evaluation of surprising events (Polich, 2007).</w:t>
      </w:r>
    </w:p>
    <w:p>
      <w:pPr>
        <w:ind w:firstLine="720"/>
      </w:pPr>
      <w:r>
        <w:rPr>
          <w:rFonts w:ascii="Times New Roman" w:hAnsi="Times New Roman"/>
          <w:sz w:val="24"/>
        </w:rPr>
        <w:t>While these ERP components are well-established as neural signatures of prediction error, “surprise” itself can be mathematically defined in multiple principled ways that make different assumptions about the underlying computation. Shannon surprise (S = −log p(x)) quantifies how rare an event is based on its probability, treating surprise as a simple function of frequency. Bayesian surprise, defined as the KL divergence between posterior beliefs before and after an observation (Itti &amp; Baldi, 2009), measures the magnitude of belief revision — how much an observer’s model of the world had to change. Change-point models (Adams &amp; MacKay, 2007) compute the posterior probability that the underlying generative process has changed, capturing surprise about regime shifts rather than individual events.</w:t>
      </w:r>
    </w:p>
    <w:p>
      <w:pPr>
        <w:ind w:firstLine="720"/>
      </w:pPr>
      <w:r>
        <w:rPr>
          <w:rFonts w:ascii="Times New Roman" w:hAnsi="Times New Roman"/>
          <w:sz w:val="24"/>
        </w:rPr>
        <w:t>These formulations are not merely theoretical alternatives — they make different predictions about trial-by-trial neural responses. Shannon surprise predicts that neural responses scale with stimulus rarity. Bayesian surprise predicts that responses scale with the magnitude of belief updating, which depends on the observer’s uncertainty. Change-point surprise predicts maximal responses when the observer infers that the statistical environment has fundamentally changed. Prior work has examined these models individually: Mars et al. (2008) demonstrated trial-by-trial correlations between Bayesian surprise and ERP amplitudes; Kolossa et al. (2015) used model-based approaches to explain P300 fluctuations; Ostwald et al. (2012) provided evidence for neural encoding of Bayesian surprise in somatosensation. However, no study has systematically compared all of these formulations on the same dataset using single-trial methods and formal model comparison.</w:t>
      </w:r>
    </w:p>
    <w:p>
      <w:pPr>
        <w:ind w:firstLine="720"/>
      </w:pPr>
      <w:r>
        <w:rPr>
          <w:rFonts w:ascii="Times New Roman" w:hAnsi="Times New Roman"/>
          <w:sz w:val="24"/>
        </w:rPr>
        <w:t>Here, we address this gap by implementing four hierarchical surprise estimators — static Shannon, adaptive Shannon, Bayesian, and change-point surprise — and benchmarking their ability to explain trial-by-trial EEG prediction-error responses in the ERP CORE dataset (Kappenman et al., 2021). We use the auditory MMN paradigm as our primary target and the visual P3 paradigm as an internal replication. Our central hypotheses are: (H1) that adaptive surprise estimators, particularly Bayesian surprise, will better explain single-trial ERP responses than static frequency-based surprise; and (H2) that surprise-derived features will improve single-trial decoding of stimulus class beyond classical ERP amplitude features.</w:t>
      </w:r>
    </w:p>
    <w:p>
      <w:pPr>
        <w:pStyle w:val="Heading1"/>
      </w:pPr>
      <w:r>
        <w:rPr>
          <w:rFonts w:ascii="Times New Roman" w:hAnsi="Times New Roman"/>
          <w:color w:val="000000"/>
        </w:rPr>
        <w:t>2. Methods</w:t>
      </w:r>
    </w:p>
    <w:p>
      <w:pPr>
        <w:pStyle w:val="Heading2"/>
      </w:pPr>
      <w:r>
        <w:rPr>
          <w:rFonts w:ascii="Times New Roman" w:hAnsi="Times New Roman"/>
          <w:color w:val="000000"/>
        </w:rPr>
        <w:t>2.1 Dataset</w:t>
      </w:r>
    </w:p>
    <w:p>
      <w:pPr>
        <w:ind w:firstLine="720"/>
      </w:pPr>
      <w:r>
        <w:rPr>
          <w:rFonts w:ascii="Times New Roman" w:hAnsi="Times New Roman"/>
          <w:sz w:val="24"/>
        </w:rPr>
        <w:t>We used the ERP CORE dataset (Kappenman et al., 2021), a standardized resource providing EEG data from 40 participants recorded during six optimized ERP paradigms. Sub-012 was excluded from the original release; sub-007 was excluded for excessive artifact rejection (85.4% rejection rate), yielding N = 38 for MMN analyses. We analyzed the MMN paradigm (auditory oddball with frequency deviants; ~80% standards, ~20% deviants) and the P3 paradigm (visual oddball with letter targets; ~80% non-targets, ~20% targets; sub-003, sub-005, sub-032 excluded for &gt;80% rejection rates, yielding N = 36). Data were recorded at 1024 Hz from 30 EEG channels plus 3 EOG channels using BioSemi ActiveTwo systems.</w:t>
      </w:r>
    </w:p>
    <w:p>
      <w:pPr>
        <w:pStyle w:val="Heading2"/>
      </w:pPr>
      <w:r>
        <w:rPr>
          <w:rFonts w:ascii="Times New Roman" w:hAnsi="Times New Roman"/>
          <w:color w:val="000000"/>
        </w:rPr>
        <w:t>2.2 Preprocessing</w:t>
      </w:r>
    </w:p>
    <w:p>
      <w:pPr>
        <w:ind w:firstLine="0"/>
      </w:pPr>
      <w:r>
        <w:rPr>
          <w:rFonts w:ascii="Times New Roman" w:hAnsi="Times New Roman"/>
          <w:sz w:val="24"/>
        </w:rPr>
        <w:t>All preprocessing was performed using MNE-Python 1.8.0 (Gramfort et al., 2013) with the following fixed parameters:</w:t>
      </w:r>
    </w:p>
    <w:p>
      <w:pPr>
        <w:pStyle w:val="ListBullet"/>
      </w:pPr>
      <w:r>
        <w:rPr>
          <w:rFonts w:ascii="Times New Roman" w:hAnsi="Times New Roman"/>
          <w:sz w:val="24"/>
        </w:rPr>
      </w:r>
      <w:r>
        <w:rPr>
          <w:rFonts w:ascii="Times New Roman" w:hAnsi="Times New Roman"/>
          <w:b/>
          <w:sz w:val="24"/>
        </w:rPr>
        <w:t>Filtering:</w:t>
      </w:r>
      <w:r>
        <w:rPr>
          <w:rFonts w:ascii="Times New Roman" w:hAnsi="Times New Roman"/>
          <w:sz w:val="24"/>
        </w:rPr>
        <w:t xml:space="preserve"> 0.1–30 Hz bandpass (zero-phase FIR, Hamming window)</w:t>
      </w:r>
    </w:p>
    <w:p>
      <w:pPr>
        <w:pStyle w:val="ListBullet"/>
      </w:pPr>
      <w:r>
        <w:rPr>
          <w:rFonts w:ascii="Times New Roman" w:hAnsi="Times New Roman"/>
          <w:sz w:val="24"/>
        </w:rPr>
      </w:r>
      <w:r>
        <w:rPr>
          <w:rFonts w:ascii="Times New Roman" w:hAnsi="Times New Roman"/>
          <w:b/>
          <w:sz w:val="24"/>
        </w:rPr>
        <w:t>Resampling:</w:t>
      </w:r>
      <w:r>
        <w:rPr>
          <w:rFonts w:ascii="Times New Roman" w:hAnsi="Times New Roman"/>
          <w:sz w:val="24"/>
        </w:rPr>
        <w:t xml:space="preserve"> Downsampled to 256 Hz</w:t>
      </w:r>
    </w:p>
    <w:p>
      <w:pPr>
        <w:pStyle w:val="ListBullet"/>
      </w:pPr>
      <w:r>
        <w:rPr>
          <w:rFonts w:ascii="Times New Roman" w:hAnsi="Times New Roman"/>
          <w:sz w:val="24"/>
        </w:rPr>
      </w:r>
      <w:r>
        <w:rPr>
          <w:rFonts w:ascii="Times New Roman" w:hAnsi="Times New Roman"/>
          <w:b/>
          <w:sz w:val="24"/>
        </w:rPr>
        <w:t>Reference:</w:t>
      </w:r>
      <w:r>
        <w:rPr>
          <w:rFonts w:ascii="Times New Roman" w:hAnsi="Times New Roman"/>
          <w:sz w:val="24"/>
        </w:rPr>
        <w:t xml:space="preserve"> Average reference</w:t>
      </w:r>
    </w:p>
    <w:p>
      <w:pPr>
        <w:pStyle w:val="ListBullet"/>
      </w:pPr>
      <w:r>
        <w:rPr>
          <w:rFonts w:ascii="Times New Roman" w:hAnsi="Times New Roman"/>
          <w:sz w:val="24"/>
        </w:rPr>
      </w:r>
      <w:r>
        <w:rPr>
          <w:rFonts w:ascii="Times New Roman" w:hAnsi="Times New Roman"/>
          <w:b/>
          <w:sz w:val="24"/>
        </w:rPr>
        <w:t>Artifact rejection:</w:t>
      </w:r>
      <w:r>
        <w:rPr>
          <w:rFonts w:ascii="Times New Roman" w:hAnsi="Times New Roman"/>
          <w:sz w:val="24"/>
        </w:rPr>
        <w:t xml:space="preserve"> ICA (FastICA, 15 components) for eye artifact removal, with automatic EOG component detection; amplitude-based epoch rejection (±150 µV threshold) as fallback when channel positions were unavailable for autoreject</w:t>
      </w:r>
    </w:p>
    <w:p>
      <w:pPr>
        <w:pStyle w:val="ListBullet"/>
      </w:pPr>
      <w:r>
        <w:rPr>
          <w:rFonts w:ascii="Times New Roman" w:hAnsi="Times New Roman"/>
          <w:sz w:val="24"/>
        </w:rPr>
      </w:r>
      <w:r>
        <w:rPr>
          <w:rFonts w:ascii="Times New Roman" w:hAnsi="Times New Roman"/>
          <w:b/>
          <w:sz w:val="24"/>
        </w:rPr>
        <w:t>Epoching:</w:t>
      </w:r>
      <w:r>
        <w:rPr>
          <w:rFonts w:ascii="Times New Roman" w:hAnsi="Times New Roman"/>
          <w:sz w:val="24"/>
        </w:rPr>
        <w:t xml:space="preserve"> −200 to 800 ms relative to stimulus onset</w:t>
      </w:r>
    </w:p>
    <w:p>
      <w:pPr>
        <w:pStyle w:val="ListBullet"/>
      </w:pPr>
      <w:r>
        <w:rPr>
          <w:rFonts w:ascii="Times New Roman" w:hAnsi="Times New Roman"/>
          <w:sz w:val="24"/>
        </w:rPr>
      </w:r>
      <w:r>
        <w:rPr>
          <w:rFonts w:ascii="Times New Roman" w:hAnsi="Times New Roman"/>
          <w:b/>
          <w:sz w:val="24"/>
        </w:rPr>
        <w:t>Baseline correction:</w:t>
      </w:r>
      <w:r>
        <w:rPr>
          <w:rFonts w:ascii="Times New Roman" w:hAnsi="Times New Roman"/>
          <w:sz w:val="24"/>
        </w:rPr>
        <w:t xml:space="preserve"> −200 to 0 ms</w:t>
      </w:r>
    </w:p>
    <w:p>
      <w:pPr>
        <w:spacing w:after="80"/>
      </w:pPr>
      <w:r>
        <w:rPr>
          <w:rFonts w:ascii="Times New Roman" w:hAnsi="Times New Roman"/>
          <w:b/>
          <w:sz w:val="20"/>
        </w:rPr>
        <w:t>Table 1.</w:t>
      </w:r>
      <w:r>
        <w:rPr>
          <w:rFonts w:ascii="Times New Roman" w:hAnsi="Times New Roman"/>
          <w:sz w:val="20"/>
        </w:rPr>
        <w:t xml:space="preserve"> Preprocessing parameters and exclusion criteria.</w:t>
      </w:r>
    </w:p>
    <w:tbl>
      <w:tblPr>
        <w:tblStyle w:val="LightShading"/>
        <w:tblW w:type="auto" w:w="0"/>
        <w:tblLook w:firstColumn="1" w:firstRow="1" w:lastColumn="0" w:lastRow="0" w:noHBand="0" w:noVBand="1" w:val="04A0"/>
      </w:tblPr>
      <w:tblGrid>
        <w:gridCol w:w="4680"/>
        <w:gridCol w:w="4680"/>
      </w:tblGrid>
      <w:tr>
        <w:tc>
          <w:tcPr>
            <w:tcW w:type="dxa" w:w="4680"/>
          </w:tcPr>
          <w:p>
            <w:r>
              <w:rPr>
                <w:rFonts w:ascii="Times New Roman" w:hAnsi="Times New Roman"/>
                <w:b/>
                <w:sz w:val="18"/>
              </w:rPr>
              <w:t>Parameter</w:t>
            </w:r>
          </w:p>
        </w:tc>
        <w:tc>
          <w:tcPr>
            <w:tcW w:type="dxa" w:w="4680"/>
          </w:tcPr>
          <w:p>
            <w:r>
              <w:rPr>
                <w:rFonts w:ascii="Times New Roman" w:hAnsi="Times New Roman"/>
                <w:b/>
                <w:sz w:val="18"/>
              </w:rPr>
              <w:t>Specification</w:t>
            </w:r>
          </w:p>
        </w:tc>
      </w:tr>
      <w:tr>
        <w:tc>
          <w:tcPr>
            <w:tcW w:type="dxa" w:w="4680"/>
          </w:tcPr>
          <w:p>
            <w:r>
              <w:rPr>
                <w:rFonts w:ascii="Times New Roman" w:hAnsi="Times New Roman"/>
                <w:sz w:val="18"/>
              </w:rPr>
              <w:t>High-pass filter</w:t>
            </w:r>
          </w:p>
        </w:tc>
        <w:tc>
          <w:tcPr>
            <w:tcW w:type="dxa" w:w="4680"/>
          </w:tcPr>
          <w:p>
            <w:r>
              <w:rPr>
                <w:rFonts w:ascii="Times New Roman" w:hAnsi="Times New Roman"/>
                <w:sz w:val="18"/>
              </w:rPr>
              <w:t>0.1 Hz (zero-phase FIR, Hamming window)</w:t>
            </w:r>
          </w:p>
        </w:tc>
      </w:tr>
      <w:tr>
        <w:tc>
          <w:tcPr>
            <w:tcW w:type="dxa" w:w="4680"/>
          </w:tcPr>
          <w:p>
            <w:r>
              <w:rPr>
                <w:rFonts w:ascii="Times New Roman" w:hAnsi="Times New Roman"/>
                <w:sz w:val="18"/>
              </w:rPr>
              <w:t>Low-pass filter</w:t>
            </w:r>
          </w:p>
        </w:tc>
        <w:tc>
          <w:tcPr>
            <w:tcW w:type="dxa" w:w="4680"/>
          </w:tcPr>
          <w:p>
            <w:r>
              <w:rPr>
                <w:rFonts w:ascii="Times New Roman" w:hAnsi="Times New Roman"/>
                <w:sz w:val="18"/>
              </w:rPr>
              <w:t>30 Hz (zero-phase FIR, Hamming window)</w:t>
            </w:r>
          </w:p>
        </w:tc>
      </w:tr>
      <w:tr>
        <w:tc>
          <w:tcPr>
            <w:tcW w:type="dxa" w:w="4680"/>
          </w:tcPr>
          <w:p>
            <w:r>
              <w:rPr>
                <w:rFonts w:ascii="Times New Roman" w:hAnsi="Times New Roman"/>
                <w:sz w:val="18"/>
              </w:rPr>
              <w:t>Sampling rate</w:t>
            </w:r>
          </w:p>
        </w:tc>
        <w:tc>
          <w:tcPr>
            <w:tcW w:type="dxa" w:w="4680"/>
          </w:tcPr>
          <w:p>
            <w:r>
              <w:rPr>
                <w:rFonts w:ascii="Times New Roman" w:hAnsi="Times New Roman"/>
                <w:sz w:val="18"/>
              </w:rPr>
              <w:t>256 Hz (downsampled from 1024 Hz)</w:t>
            </w:r>
          </w:p>
        </w:tc>
      </w:tr>
      <w:tr>
        <w:tc>
          <w:tcPr>
            <w:tcW w:type="dxa" w:w="4680"/>
          </w:tcPr>
          <w:p>
            <w:r>
              <w:rPr>
                <w:rFonts w:ascii="Times New Roman" w:hAnsi="Times New Roman"/>
                <w:sz w:val="18"/>
              </w:rPr>
              <w:t>Reference</w:t>
            </w:r>
          </w:p>
        </w:tc>
        <w:tc>
          <w:tcPr>
            <w:tcW w:type="dxa" w:w="4680"/>
          </w:tcPr>
          <w:p>
            <w:r>
              <w:rPr>
                <w:rFonts w:ascii="Times New Roman" w:hAnsi="Times New Roman"/>
                <w:sz w:val="18"/>
              </w:rPr>
              <w:t>Average reference</w:t>
            </w:r>
          </w:p>
        </w:tc>
      </w:tr>
      <w:tr>
        <w:tc>
          <w:tcPr>
            <w:tcW w:type="dxa" w:w="4680"/>
          </w:tcPr>
          <w:p>
            <w:r>
              <w:rPr>
                <w:rFonts w:ascii="Times New Roman" w:hAnsi="Times New Roman"/>
                <w:sz w:val="18"/>
              </w:rPr>
              <w:t>Artifact rejection (ICA)</w:t>
            </w:r>
          </w:p>
        </w:tc>
        <w:tc>
          <w:tcPr>
            <w:tcW w:type="dxa" w:w="4680"/>
          </w:tcPr>
          <w:p>
            <w:r>
              <w:rPr>
                <w:rFonts w:ascii="Times New Roman" w:hAnsi="Times New Roman"/>
                <w:sz w:val="18"/>
              </w:rPr>
              <w:t>FastICA, 15 components, automatic EOG detection</w:t>
            </w:r>
          </w:p>
        </w:tc>
      </w:tr>
      <w:tr>
        <w:tc>
          <w:tcPr>
            <w:tcW w:type="dxa" w:w="4680"/>
          </w:tcPr>
          <w:p>
            <w:r>
              <w:rPr>
                <w:rFonts w:ascii="Times New Roman" w:hAnsi="Times New Roman"/>
                <w:sz w:val="18"/>
              </w:rPr>
              <w:t>Artifact rejection (epochs)</w:t>
            </w:r>
          </w:p>
        </w:tc>
        <w:tc>
          <w:tcPr>
            <w:tcW w:type="dxa" w:w="4680"/>
          </w:tcPr>
          <w:p>
            <w:r>
              <w:rPr>
                <w:rFonts w:ascii="Times New Roman" w:hAnsi="Times New Roman"/>
                <w:sz w:val="18"/>
              </w:rPr>
              <w:t>Amplitude threshold: ±150 µV</w:t>
            </w:r>
          </w:p>
        </w:tc>
      </w:tr>
      <w:tr>
        <w:tc>
          <w:tcPr>
            <w:tcW w:type="dxa" w:w="4680"/>
          </w:tcPr>
          <w:p>
            <w:r>
              <w:rPr>
                <w:rFonts w:ascii="Times New Roman" w:hAnsi="Times New Roman"/>
                <w:sz w:val="18"/>
              </w:rPr>
              <w:t>Epoch window</w:t>
            </w:r>
          </w:p>
        </w:tc>
        <w:tc>
          <w:tcPr>
            <w:tcW w:type="dxa" w:w="4680"/>
          </w:tcPr>
          <w:p>
            <w:r>
              <w:rPr>
                <w:rFonts w:ascii="Times New Roman" w:hAnsi="Times New Roman"/>
                <w:sz w:val="18"/>
              </w:rPr>
              <w:t>−200 to 800 ms (stimulus-locked)</w:t>
            </w:r>
          </w:p>
        </w:tc>
      </w:tr>
      <w:tr>
        <w:tc>
          <w:tcPr>
            <w:tcW w:type="dxa" w:w="4680"/>
          </w:tcPr>
          <w:p>
            <w:r>
              <w:rPr>
                <w:rFonts w:ascii="Times New Roman" w:hAnsi="Times New Roman"/>
                <w:sz w:val="18"/>
              </w:rPr>
              <w:t>Baseline correction</w:t>
            </w:r>
          </w:p>
        </w:tc>
        <w:tc>
          <w:tcPr>
            <w:tcW w:type="dxa" w:w="4680"/>
          </w:tcPr>
          <w:p>
            <w:r>
              <w:rPr>
                <w:rFonts w:ascii="Times New Roman" w:hAnsi="Times New Roman"/>
                <w:sz w:val="18"/>
              </w:rPr>
              <w:t>−200 to 0 ms</w:t>
            </w:r>
          </w:p>
        </w:tc>
      </w:tr>
      <w:tr>
        <w:tc>
          <w:tcPr>
            <w:tcW w:type="dxa" w:w="4680"/>
          </w:tcPr>
          <w:p>
            <w:r>
              <w:rPr>
                <w:rFonts w:ascii="Times New Roman" w:hAnsi="Times New Roman"/>
                <w:sz w:val="18"/>
              </w:rPr>
              <w:t>Exclusion criterion</w:t>
            </w:r>
          </w:p>
        </w:tc>
        <w:tc>
          <w:tcPr>
            <w:tcW w:type="dxa" w:w="4680"/>
          </w:tcPr>
          <w:p>
            <w:r>
              <w:rPr>
                <w:rFonts w:ascii="Times New Roman" w:hAnsi="Times New Roman"/>
                <w:sz w:val="18"/>
              </w:rPr>
              <w:t>&lt;100 epochs (MMN) or &lt;30 epochs (P3), or &gt;80% rejection rate</w:t>
            </w:r>
          </w:p>
        </w:tc>
      </w:tr>
    </w:tbl>
    <w:p>
      <w:pPr>
        <w:spacing w:after="0" w:before="0"/>
      </w:pPr>
    </w:p>
    <w:p>
      <w:pPr>
        <w:ind w:firstLine="720"/>
      </w:pPr>
      <w:r>
        <w:rPr>
          <w:rFonts w:ascii="Times New Roman" w:hAnsi="Times New Roman"/>
          <w:sz w:val="24"/>
        </w:rPr>
        <w:t>After preprocessing and exclusion, the MMN dataset comprised 35,332 epochs across 38 subjects (mean 930 ± 48 per subject; 7.0% rejection rate). The P3 dataset comprised 5,865 epochs across 36 subjects.</w:t>
      </w:r>
    </w:p>
    <w:p>
      <w:pPr>
        <w:pStyle w:val="Heading2"/>
      </w:pPr>
      <w:r>
        <w:rPr>
          <w:rFonts w:ascii="Times New Roman" w:hAnsi="Times New Roman"/>
          <w:color w:val="000000"/>
        </w:rPr>
        <w:t>2.3 Surprise Estimators</w:t>
      </w:r>
    </w:p>
    <w:p>
      <w:pPr>
        <w:ind w:firstLine="0"/>
      </w:pPr>
      <w:r>
        <w:rPr>
          <w:rFonts w:ascii="Times New Roman" w:hAnsi="Times New Roman"/>
          <w:sz w:val="24"/>
        </w:rPr>
        <w:t>All estimators operated on the binary stimulus sequence extracted from retained epochs (0 = standard, 1 = deviant):</w:t>
      </w:r>
    </w:p>
    <w:p>
      <w:pPr>
        <w:ind w:firstLine="0"/>
      </w:pPr>
      <w:r>
        <w:rPr>
          <w:rFonts w:ascii="Times New Roman" w:hAnsi="Times New Roman"/>
          <w:sz w:val="24"/>
        </w:rPr>
        <w:t xml:space="preserve">1. </w:t>
      </w:r>
      <w:r>
        <w:rPr>
          <w:rFonts w:ascii="Times New Roman" w:hAnsi="Times New Roman"/>
          <w:b/>
          <w:sz w:val="24"/>
        </w:rPr>
        <w:t>Static Shannon surprise:</w:t>
      </w:r>
      <w:r>
        <w:rPr>
          <w:rFonts w:ascii="Times New Roman" w:hAnsi="Times New Roman"/>
          <w:sz w:val="24"/>
        </w:rPr>
        <w:t xml:space="preserve"> S_t = −log₂ p_global(x_t), where p_global is the overall frequency of each stimulus type across the entire sequence. This produces a fixed value per stimulus class.</w:t>
      </w:r>
    </w:p>
    <w:p>
      <w:pPr>
        <w:ind w:firstLine="0"/>
      </w:pPr>
      <w:r>
        <w:rPr>
          <w:rFonts w:ascii="Times New Roman" w:hAnsi="Times New Roman"/>
          <w:sz w:val="24"/>
        </w:rPr>
        <w:t xml:space="preserve">2. </w:t>
      </w:r>
      <w:r>
        <w:rPr>
          <w:rFonts w:ascii="Times New Roman" w:hAnsi="Times New Roman"/>
          <w:b/>
          <w:sz w:val="24"/>
        </w:rPr>
        <w:t>Adaptive Shannon surprise:</w:t>
      </w:r>
      <w:r>
        <w:rPr>
          <w:rFonts w:ascii="Times New Roman" w:hAnsi="Times New Roman"/>
          <w:sz w:val="24"/>
        </w:rPr>
        <w:t xml:space="preserve"> S_t = −log₂ p_w(x_t), where p_w is estimated from a sliding window of the preceding w trials (w = 20 for primary analysis; w = 10, 50 for sensitivity). Laplace smoothing was applied to prevent log(0).</w:t>
      </w:r>
    </w:p>
    <w:p>
      <w:pPr>
        <w:ind w:firstLine="0"/>
      </w:pPr>
      <w:r>
        <w:rPr>
          <w:rFonts w:ascii="Times New Roman" w:hAnsi="Times New Roman"/>
          <w:sz w:val="24"/>
        </w:rPr>
        <w:t xml:space="preserve">3. </w:t>
      </w:r>
      <w:r>
        <w:rPr>
          <w:rFonts w:ascii="Times New Roman" w:hAnsi="Times New Roman"/>
          <w:b/>
          <w:sz w:val="24"/>
        </w:rPr>
        <w:t>Bayesian surprise:</w:t>
      </w:r>
      <w:r>
        <w:rPr>
          <w:rFonts w:ascii="Times New Roman" w:hAnsi="Times New Roman"/>
          <w:sz w:val="24"/>
        </w:rPr>
        <w:t xml:space="preserve"> D_KL[Beta(α_t, β_t) || Beta(α_{t−1}, β_{t−1})], the KL divergence between successive posteriors of a Beta-Bernoulli conjugate model with flat prior (Beta(1,1)). This measures the magnitude of belief revision after each observation.</w:t>
      </w:r>
    </w:p>
    <w:p>
      <w:pPr>
        <w:ind w:firstLine="0"/>
      </w:pPr>
      <w:r>
        <w:rPr>
          <w:rFonts w:ascii="Times New Roman" w:hAnsi="Times New Roman"/>
          <w:sz w:val="24"/>
        </w:rPr>
        <w:t xml:space="preserve">4. </w:t>
      </w:r>
      <w:r>
        <w:rPr>
          <w:rFonts w:ascii="Times New Roman" w:hAnsi="Times New Roman"/>
          <w:b/>
          <w:sz w:val="24"/>
        </w:rPr>
        <w:t>Change-point predictive surprise:</w:t>
      </w:r>
      <w:r>
        <w:rPr>
          <w:rFonts w:ascii="Times New Roman" w:hAnsi="Times New Roman"/>
          <w:sz w:val="24"/>
        </w:rPr>
        <w:t xml:space="preserve"> −log₂ P(x_t | model), the negative log marginal predictive probability under the Adams &amp; MacKay (2007) online change-point detection model with geometric hazard rate (h = 1/200; sensitivity analysis over h ∈ {1/50, 1/100, 1/500}). This marginalizes over all possible run lengths, weighting each by its posterior probability.</w:t>
      </w:r>
    </w:p>
    <w:p>
      <w:pPr>
        <w:ind w:firstLine="720"/>
      </w:pPr>
      <w:r>
        <w:rPr>
          <w:rFonts w:ascii="Times New Roman" w:hAnsi="Times New Roman"/>
          <w:sz w:val="24"/>
        </w:rPr>
        <w:t>Secondary metrics included posterior entropy, estimated volatility (entropy of the run-length distribution), and mean run length. Regressors were z-scored before inclusion in encoding models.</w:t>
      </w:r>
    </w:p>
    <w:p>
      <w:pPr>
        <w:pStyle w:val="Heading2"/>
      </w:pPr>
      <w:r>
        <w:rPr>
          <w:rFonts w:ascii="Times New Roman" w:hAnsi="Times New Roman"/>
          <w:color w:val="000000"/>
        </w:rPr>
        <w:t>2.4 Feature Extraction</w:t>
      </w:r>
    </w:p>
    <w:p>
      <w:pPr>
        <w:ind w:firstLine="720"/>
      </w:pPr>
      <w:r>
        <w:rPr>
          <w:rFonts w:ascii="Times New Roman" w:hAnsi="Times New Roman"/>
          <w:sz w:val="24"/>
        </w:rPr>
      </w:r>
      <w:r>
        <w:rPr>
          <w:rFonts w:ascii="Times New Roman" w:hAnsi="Times New Roman"/>
          <w:b/>
          <w:sz w:val="24"/>
        </w:rPr>
        <w:t>ERP features:</w:t>
      </w:r>
      <w:r>
        <w:rPr>
          <w:rFonts w:ascii="Times New Roman" w:hAnsi="Times New Roman"/>
          <w:sz w:val="24"/>
        </w:rPr>
        <w:t xml:space="preserve"> Mean amplitude was extracted in two time windows for both paradigms: the MMN window (100–250 ms, fronto-central ROI: Fz, FCz, Cz, FC3, FC4) and the P3b window (250–500 ms, parietal ROI: Pz, CPz, P3, P4, CP1, CP2). Testing both windows in both paradigms allowed us to assess whether surprise effects were specific to the expected ERP component or extended across time windows.</w:t>
      </w:r>
    </w:p>
    <w:p>
      <w:pPr>
        <w:pStyle w:val="Heading2"/>
      </w:pPr>
      <w:r>
        <w:rPr>
          <w:rFonts w:ascii="Times New Roman" w:hAnsi="Times New Roman"/>
          <w:color w:val="000000"/>
        </w:rPr>
        <w:t>2.5 Encoding Analysis</w:t>
      </w:r>
    </w:p>
    <w:p>
      <w:pPr>
        <w:ind w:firstLine="720"/>
      </w:pPr>
      <w:r>
        <w:rPr>
          <w:rFonts w:ascii="Times New Roman" w:hAnsi="Times New Roman"/>
          <w:sz w:val="24"/>
        </w:rPr>
      </w:r>
      <w:r>
        <w:rPr>
          <w:rFonts w:ascii="Times New Roman" w:hAnsi="Times New Roman"/>
          <w:b/>
          <w:sz w:val="24"/>
        </w:rPr>
        <w:t>Primary analysis:</w:t>
      </w:r>
      <w:r>
        <w:rPr>
          <w:rFonts w:ascii="Times New Roman" w:hAnsi="Times New Roman"/>
          <w:sz w:val="24"/>
        </w:rPr>
        <w:t xml:space="preserve"> Linear mixed-effects models were fit with EEG amplitude as the dependent variable, stimulus class as a fixed effect (baseline model), and subject as a random intercept. Each surprise model was tested individually against the stimulus-class-only baseline (individual-model-vs-baseline design), avoiding multicollinearity from joint inclusion. Model comparison used AIC and likelihood ratio tests (LRT).</w:t>
      </w:r>
    </w:p>
    <w:p>
      <w:pPr>
        <w:ind w:firstLine="720"/>
      </w:pPr>
      <w:r>
        <w:rPr>
          <w:rFonts w:ascii="Times New Roman" w:hAnsi="Times New Roman"/>
          <w:sz w:val="24"/>
        </w:rPr>
      </w:r>
      <w:r>
        <w:rPr>
          <w:rFonts w:ascii="Times New Roman" w:hAnsi="Times New Roman"/>
          <w:b/>
          <w:sz w:val="24"/>
        </w:rPr>
        <w:t>Cross-validated prediction:</w:t>
      </w:r>
      <w:r>
        <w:rPr>
          <w:rFonts w:ascii="Times New Roman" w:hAnsi="Times New Roman"/>
          <w:sz w:val="24"/>
        </w:rPr>
        <w:t xml:space="preserve"> To assess out-of-sample predictive value, we performed leave-one-subject-out cross-validation: for each held-out subject, mixed-effects models were fit on the remaining subjects and used to predict the held-out subject’s trial-by-trial amplitudes. Prediction MSE was compared between baseline and surprise-augmented models via paired t-tests across folds. Holm–Bonferroni correction was applied within each ERP window (4 comparisons).</w:t>
      </w:r>
    </w:p>
    <w:p>
      <w:pPr>
        <w:ind w:firstLine="720"/>
      </w:pPr>
      <w:r>
        <w:rPr>
          <w:rFonts w:ascii="Times New Roman" w:hAnsi="Times New Roman"/>
          <w:sz w:val="24"/>
        </w:rPr>
      </w:r>
      <w:r>
        <w:rPr>
          <w:rFonts w:ascii="Times New Roman" w:hAnsi="Times New Roman"/>
          <w:b/>
          <w:sz w:val="24"/>
        </w:rPr>
        <w:t>Time-resolved regression:</w:t>
      </w:r>
      <w:r>
        <w:rPr>
          <w:rFonts w:ascii="Times New Roman" w:hAnsi="Times New Roman"/>
          <w:sz w:val="24"/>
        </w:rPr>
        <w:t xml:space="preserve"> At each time point, ERP amplitude (averaged across ROI channels) was regressed on each z-scored surprise regressor, pooled across subjects. Group-level significance was assessed via one-sample t-tests with cluster-based permutation correction (1000 permutations).</w:t>
      </w:r>
    </w:p>
    <w:p>
      <w:pPr>
        <w:ind w:firstLine="720"/>
      </w:pPr>
      <w:r>
        <w:rPr>
          <w:rFonts w:ascii="Times New Roman" w:hAnsi="Times New Roman"/>
          <w:sz w:val="24"/>
        </w:rPr>
      </w:r>
      <w:r>
        <w:rPr>
          <w:rFonts w:ascii="Times New Roman" w:hAnsi="Times New Roman"/>
          <w:b/>
          <w:sz w:val="24"/>
        </w:rPr>
        <w:t>Multicollinearity assessment:</w:t>
      </w:r>
      <w:r>
        <w:rPr>
          <w:rFonts w:ascii="Times New Roman" w:hAnsi="Times New Roman"/>
          <w:sz w:val="24"/>
        </w:rPr>
        <w:t xml:space="preserve"> Variance inflation factors (VIF) were computed for all four regressors entered simultaneously. VIF ≥ 10 was the threshold for declaring problematic collinearity.</w:t>
      </w:r>
    </w:p>
    <w:p>
      <w:pPr>
        <w:pStyle w:val="Heading2"/>
      </w:pPr>
      <w:r>
        <w:rPr>
          <w:rFonts w:ascii="Times New Roman" w:hAnsi="Times New Roman"/>
          <w:color w:val="000000"/>
        </w:rPr>
        <w:t>2.6 Decoding Analysis</w:t>
      </w:r>
    </w:p>
    <w:p>
      <w:pPr>
        <w:ind w:firstLine="720"/>
      </w:pPr>
      <w:r>
        <w:rPr>
          <w:rFonts w:ascii="Times New Roman" w:hAnsi="Times New Roman"/>
          <w:sz w:val="24"/>
        </w:rPr>
      </w:r>
      <w:r>
        <w:rPr>
          <w:rFonts w:ascii="Times New Roman" w:hAnsi="Times New Roman"/>
          <w:b/>
          <w:sz w:val="24"/>
        </w:rPr>
        <w:t>Task:</w:t>
      </w:r>
      <w:r>
        <w:rPr>
          <w:rFonts w:ascii="Times New Roman" w:hAnsi="Times New Roman"/>
          <w:sz w:val="24"/>
        </w:rPr>
        <w:t xml:space="preserve"> Binary classification of standard vs. deviant trials.</w:t>
      </w:r>
    </w:p>
    <w:p>
      <w:pPr>
        <w:ind w:firstLine="720"/>
      </w:pPr>
      <w:r>
        <w:rPr>
          <w:rFonts w:ascii="Times New Roman" w:hAnsi="Times New Roman"/>
          <w:sz w:val="24"/>
        </w:rPr>
      </w:r>
      <w:r>
        <w:rPr>
          <w:rFonts w:ascii="Times New Roman" w:hAnsi="Times New Roman"/>
          <w:b/>
          <w:sz w:val="24"/>
        </w:rPr>
        <w:t>Features:</w:t>
      </w:r>
      <w:r>
        <w:rPr>
          <w:rFonts w:ascii="Times New Roman" w:hAnsi="Times New Roman"/>
          <w:sz w:val="24"/>
        </w:rPr>
        <w:t xml:space="preserve"> (i) ERP-only (MMN and P3b window amplitudes); (ii) ERP + contextual surprise (surprise regressors residualized against stimulus type to prevent label leakage).</w:t>
      </w:r>
    </w:p>
    <w:p>
      <w:pPr>
        <w:ind w:firstLine="720"/>
      </w:pPr>
      <w:r>
        <w:rPr>
          <w:rFonts w:ascii="Times New Roman" w:hAnsi="Times New Roman"/>
          <w:sz w:val="24"/>
        </w:rPr>
      </w:r>
      <w:r>
        <w:rPr>
          <w:rFonts w:ascii="Times New Roman" w:hAnsi="Times New Roman"/>
          <w:b/>
          <w:sz w:val="24"/>
        </w:rPr>
        <w:t>Evaluation:</w:t>
      </w:r>
      <w:r>
        <w:rPr>
          <w:rFonts w:ascii="Times New Roman" w:hAnsi="Times New Roman"/>
          <w:sz w:val="24"/>
        </w:rPr>
        <w:t xml:space="preserve"> Cross-subject leave-5-out CV was designated as the primary test of H2, because surprise regressors computed from the deterministic stimulus sequence encode stimulus identity and produce trivially perfect within-subject classification. Within-subject 5-fold stratified CV was reported as a secondary analysis.</w:t>
      </w:r>
    </w:p>
    <w:p>
      <w:pPr>
        <w:ind w:firstLine="720"/>
      </w:pPr>
      <w:r>
        <w:rPr>
          <w:rFonts w:ascii="Times New Roman" w:hAnsi="Times New Roman"/>
          <w:sz w:val="24"/>
        </w:rPr>
      </w:r>
      <w:r>
        <w:rPr>
          <w:rFonts w:ascii="Times New Roman" w:hAnsi="Times New Roman"/>
          <w:b/>
          <w:sz w:val="24"/>
        </w:rPr>
        <w:t>Classifier:</w:t>
      </w:r>
      <w:r>
        <w:rPr>
          <w:rFonts w:ascii="Times New Roman" w:hAnsi="Times New Roman"/>
          <w:sz w:val="24"/>
        </w:rPr>
        <w:t xml:space="preserve"> L2-regularized logistic regression (C = 1.0) with balanced class weights, preceded by standard scaling.</w:t>
      </w:r>
    </w:p>
    <w:p>
      <w:pPr>
        <w:ind w:firstLine="720"/>
      </w:pPr>
      <w:r>
        <w:rPr>
          <w:rFonts w:ascii="Times New Roman" w:hAnsi="Times New Roman"/>
          <w:sz w:val="24"/>
        </w:rPr>
      </w:r>
      <w:r>
        <w:rPr>
          <w:rFonts w:ascii="Times New Roman" w:hAnsi="Times New Roman"/>
          <w:b/>
          <w:sz w:val="24"/>
        </w:rPr>
        <w:t>Metrics:</w:t>
      </w:r>
      <w:r>
        <w:rPr>
          <w:rFonts w:ascii="Times New Roman" w:hAnsi="Times New Roman"/>
          <w:sz w:val="24"/>
        </w:rPr>
        <w:t xml:space="preserve"> ROC-AUC, PR-AUC, balanced accuracy, Brier score.</w:t>
      </w:r>
    </w:p>
    <w:p>
      <w:pPr>
        <w:pStyle w:val="Heading1"/>
      </w:pPr>
      <w:r>
        <w:rPr>
          <w:rFonts w:ascii="Times New Roman" w:hAnsi="Times New Roman"/>
          <w:color w:val="000000"/>
        </w:rPr>
        <w:t>3. Results</w:t>
      </w:r>
    </w:p>
    <w:p>
      <w:pPr>
        <w:pStyle w:val="Heading2"/>
      </w:pPr>
      <w:r>
        <w:rPr>
          <w:rFonts w:ascii="Times New Roman" w:hAnsi="Times New Roman"/>
          <w:color w:val="000000"/>
        </w:rPr>
        <w:t>3.1 ERP Replication</w:t>
      </w:r>
    </w:p>
    <w:p>
      <w:pPr>
        <w:ind w:firstLine="720"/>
      </w:pPr>
      <w:r>
        <w:rPr>
          <w:rFonts w:ascii="Times New Roman" w:hAnsi="Times New Roman"/>
          <w:sz w:val="24"/>
        </w:rPr>
        <w:t>Grand-average ERP waveforms replicated published ERP CORE results. In the MMN paradigm, deviant tones elicited a clear fronto-central negativity relative to standards in the 100–250 ms window (MMN). In the P3 paradigm, target stimuli elicited a parietal positivity in the 250–500 ms window (P3b). These results confirm that our preprocessing pipeline preserved the expected neural signatures (Figure 2).</w:t>
      </w:r>
    </w:p>
    <w:p>
      <w:pPr>
        <w:jc w:val="center"/>
      </w:pPr>
      <w:r>
        <w:drawing>
          <wp:inline xmlns:a="http://schemas.openxmlformats.org/drawingml/2006/main" xmlns:pic="http://schemas.openxmlformats.org/drawingml/2006/picture">
            <wp:extent cx="5486400" cy="4706248"/>
            <wp:docPr id="1" name="Picture 1"/>
            <wp:cNvGraphicFramePr>
              <a:graphicFrameLocks noChangeAspect="1"/>
            </wp:cNvGraphicFramePr>
            <a:graphic>
              <a:graphicData uri="http://schemas.openxmlformats.org/drawingml/2006/picture">
                <pic:pic>
                  <pic:nvPicPr>
                    <pic:cNvPr id="0" name="fig2_erp_replication_MMN.png"/>
                    <pic:cNvPicPr/>
                  </pic:nvPicPr>
                  <pic:blipFill>
                    <a:blip r:embed="rId9"/>
                    <a:stretch>
                      <a:fillRect/>
                    </a:stretch>
                  </pic:blipFill>
                  <pic:spPr>
                    <a:xfrm>
                      <a:off x="0" y="0"/>
                      <a:ext cx="5486400" cy="4706248"/>
                    </a:xfrm>
                    <a:prstGeom prst="rect"/>
                  </pic:spPr>
                </pic:pic>
              </a:graphicData>
            </a:graphic>
          </wp:inline>
        </w:drawing>
      </w:r>
    </w:p>
    <w:p>
      <w:pPr>
        <w:spacing w:after="240"/>
        <w:jc w:val="left"/>
      </w:pPr>
      <w:r>
        <w:rPr>
          <w:rFonts w:ascii="Times New Roman" w:hAnsi="Times New Roman"/>
          <w:b/>
          <w:sz w:val="20"/>
        </w:rPr>
        <w:t xml:space="preserve">Figure 2. </w:t>
      </w:r>
      <w:r>
        <w:rPr>
          <w:rFonts w:ascii="Times New Roman" w:hAnsi="Times New Roman"/>
          <w:sz w:val="20"/>
        </w:rPr>
        <w:t>ERP replication and quality control. (A) Grand-average ERP waveforms at fronto-central sites (MMN ROI) for standard (blue) and deviant (red) stimuli, with shaded ±SEM. Gray bar marks the MMN window (100–250 ms). (B) Grand-average at parietal sites (P3b ROI). (C) Difference waveforms (deviant − standard) at fronto-central and parietal sites. (D) Epoch counts per subject after artifact rejection.</w:t>
      </w:r>
    </w:p>
    <w:p>
      <w:pPr>
        <w:pStyle w:val="Heading2"/>
      </w:pPr>
      <w:r>
        <w:rPr>
          <w:rFonts w:ascii="Times New Roman" w:hAnsi="Times New Roman"/>
          <w:color w:val="000000"/>
        </w:rPr>
        <w:t>3.2 Surprise Regressor Properties</w:t>
      </w:r>
    </w:p>
    <w:p>
      <w:pPr>
        <w:ind w:firstLine="720"/>
      </w:pPr>
      <w:r>
        <w:rPr>
          <w:rFonts w:ascii="Times New Roman" w:hAnsi="Times New Roman"/>
          <w:sz w:val="24"/>
        </w:rPr>
        <w:t>The four surprise models produced regressors with markedly different properties (Figure 1C). Static Shannon, adaptive Shannon, and change-point surprise were highly correlated (r = 0.95–0.99), reflecting their shared dependence on stimulus frequency. Bayesian surprise was substantially more distinct (r = 0.26–0.29 with all other models).</w:t>
      </w:r>
    </w:p>
    <w:p>
      <w:pPr>
        <w:ind w:firstLine="720"/>
      </w:pPr>
      <w:r>
        <w:rPr>
          <w:rFonts w:ascii="Times New Roman" w:hAnsi="Times New Roman"/>
          <w:sz w:val="24"/>
        </w:rPr>
        <w:t>VIF analysis confirmed severe multicollinearity: static Shannon (VIF = 70.3), change-point (VIF = 105.9), and adaptive Shannon (VIF = 17.3) all exceeded the threshold of 10. Only Bayesian surprise (VIF = 1.1) was independent. This pattern was consistent across paradigms. We therefore interpret the individual-model-vs-baseline comparisons as the primary analysis and do not report combined models.</w:t>
      </w:r>
    </w:p>
    <w:p>
      <w:pPr>
        <w:jc w:val="center"/>
      </w:pPr>
      <w:r>
        <w:drawing>
          <wp:inline xmlns:a="http://schemas.openxmlformats.org/drawingml/2006/main" xmlns:pic="http://schemas.openxmlformats.org/drawingml/2006/picture">
            <wp:extent cx="5486400" cy="4698693"/>
            <wp:docPr id="2" name="Picture 2"/>
            <wp:cNvGraphicFramePr>
              <a:graphicFrameLocks noChangeAspect="1"/>
            </wp:cNvGraphicFramePr>
            <a:graphic>
              <a:graphicData uri="http://schemas.openxmlformats.org/drawingml/2006/picture">
                <pic:pic>
                  <pic:nvPicPr>
                    <pic:cNvPr id="0" name="fig1_schematic_MMN.png"/>
                    <pic:cNvPicPr/>
                  </pic:nvPicPr>
                  <pic:blipFill>
                    <a:blip r:embed="rId10"/>
                    <a:stretch>
                      <a:fillRect/>
                    </a:stretch>
                  </pic:blipFill>
                  <pic:spPr>
                    <a:xfrm>
                      <a:off x="0" y="0"/>
                      <a:ext cx="5486400" cy="4698693"/>
                    </a:xfrm>
                    <a:prstGeom prst="rect"/>
                  </pic:spPr>
                </pic:pic>
              </a:graphicData>
            </a:graphic>
          </wp:inline>
        </w:drawing>
      </w:r>
    </w:p>
    <w:p>
      <w:pPr>
        <w:spacing w:after="240"/>
        <w:jc w:val="left"/>
      </w:pPr>
      <w:r>
        <w:rPr>
          <w:rFonts w:ascii="Times New Roman" w:hAnsi="Times New Roman"/>
          <w:b/>
          <w:sz w:val="20"/>
        </w:rPr>
        <w:t xml:space="preserve">Figure 1. </w:t>
      </w:r>
      <w:r>
        <w:rPr>
          <w:rFonts w:ascii="Times New Roman" w:hAnsi="Times New Roman"/>
          <w:sz w:val="20"/>
        </w:rPr>
        <w:t>Study schematic and surprise model hierarchy. (A) Oddball paradigm: rare deviants (red) embedded among frequent standards (blue). (B) Four surprise estimators arranged by increasing complexity. (C) Example surprise traces for one subject’s stimulus sequence, z-scored for comparison. Gray lines mark deviant trials. (D) Analysis pipeline flowchart.</w:t>
      </w:r>
    </w:p>
    <w:p>
      <w:pPr>
        <w:spacing w:after="80"/>
      </w:pPr>
      <w:r>
        <w:rPr>
          <w:rFonts w:ascii="Times New Roman" w:hAnsi="Times New Roman"/>
          <w:b/>
          <w:sz w:val="20"/>
        </w:rPr>
        <w:t>Table 2A.</w:t>
      </w:r>
      <w:r>
        <w:rPr>
          <w:rFonts w:ascii="Times New Roman" w:hAnsi="Times New Roman"/>
          <w:sz w:val="20"/>
        </w:rPr>
        <w:t xml:space="preserve"> Encoding model comparison — MMN paradigm (N = 38). Each model tested individually against a stimulus-class-only baseline. Holm–Bonferroni correction applied within each ERP window (4 comparisons). Both the MMN window (100–250 ms) and P3b window (250–500 ms) were tested within the MMN paradigm to assess whether surprise effects extended beyond the primary MMN component.</w:t>
      </w:r>
    </w:p>
    <w:tbl>
      <w:tblPr>
        <w:tblStyle w:val="LightShading"/>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18"/>
              </w:rPr>
              <w:t>Model</w:t>
            </w:r>
          </w:p>
        </w:tc>
        <w:tc>
          <w:tcPr>
            <w:tcW w:type="dxa" w:w="1337"/>
          </w:tcPr>
          <w:p>
            <w:r>
              <w:rPr>
                <w:rFonts w:ascii="Times New Roman" w:hAnsi="Times New Roman"/>
                <w:b/>
                <w:sz w:val="18"/>
              </w:rPr>
              <w:t>Window</w:t>
            </w:r>
          </w:p>
        </w:tc>
        <w:tc>
          <w:tcPr>
            <w:tcW w:type="dxa" w:w="1337"/>
          </w:tcPr>
          <w:p>
            <w:r>
              <w:rPr>
                <w:rFonts w:ascii="Times New Roman" w:hAnsi="Times New Roman"/>
                <w:b/>
                <w:sz w:val="18"/>
              </w:rPr>
              <w:t>ΔAIC</w:t>
            </w:r>
          </w:p>
        </w:tc>
        <w:tc>
          <w:tcPr>
            <w:tcW w:type="dxa" w:w="1337"/>
          </w:tcPr>
          <w:p>
            <w:r>
              <w:rPr>
                <w:rFonts w:ascii="Times New Roman" w:hAnsi="Times New Roman"/>
                <w:b/>
                <w:sz w:val="18"/>
              </w:rPr>
              <w:t>p (uncorr.)</w:t>
            </w:r>
          </w:p>
        </w:tc>
        <w:tc>
          <w:tcPr>
            <w:tcW w:type="dxa" w:w="1337"/>
          </w:tcPr>
          <w:p>
            <w:r>
              <w:rPr>
                <w:rFonts w:ascii="Times New Roman" w:hAnsi="Times New Roman"/>
                <w:b/>
                <w:sz w:val="18"/>
              </w:rPr>
              <w:t>p (Holm)</w:t>
            </w:r>
          </w:p>
        </w:tc>
        <w:tc>
          <w:tcPr>
            <w:tcW w:type="dxa" w:w="1337"/>
          </w:tcPr>
          <w:p>
            <w:r>
              <w:rPr>
                <w:rFonts w:ascii="Times New Roman" w:hAnsi="Times New Roman"/>
                <w:b/>
                <w:sz w:val="18"/>
              </w:rPr>
              <w:t>Partial R²</w:t>
            </w:r>
          </w:p>
        </w:tc>
        <w:tc>
          <w:tcPr>
            <w:tcW w:type="dxa" w:w="1337"/>
          </w:tcPr>
          <w:p>
            <w:r>
              <w:rPr>
                <w:rFonts w:ascii="Times New Roman" w:hAnsi="Times New Roman"/>
                <w:b/>
                <w:sz w:val="18"/>
              </w:rPr>
              <w:t>β [95% CI]</w:t>
            </w:r>
          </w:p>
        </w:tc>
      </w:tr>
      <w:tr>
        <w:tc>
          <w:tcPr>
            <w:tcW w:type="dxa" w:w="1337"/>
          </w:tcPr>
          <w:p>
            <w:r>
              <w:rPr>
                <w:rFonts w:ascii="Times New Roman" w:hAnsi="Times New Roman"/>
                <w:sz w:val="18"/>
              </w:rPr>
              <w:t>Static Shannon</w:t>
            </w:r>
          </w:p>
        </w:tc>
        <w:tc>
          <w:tcPr>
            <w:tcW w:type="dxa" w:w="1337"/>
          </w:tcPr>
          <w:p>
            <w:r>
              <w:rPr>
                <w:rFonts w:ascii="Times New Roman" w:hAnsi="Times New Roman"/>
                <w:sz w:val="18"/>
              </w:rPr>
              <w:t>MMN</w:t>
            </w:r>
          </w:p>
        </w:tc>
        <w:tc>
          <w:tcPr>
            <w:tcW w:type="dxa" w:w="1337"/>
          </w:tcPr>
          <w:p>
            <w:r>
              <w:rPr>
                <w:rFonts w:ascii="Times New Roman" w:hAnsi="Times New Roman"/>
                <w:sz w:val="18"/>
              </w:rPr>
              <w:t>−1.4</w:t>
            </w:r>
          </w:p>
        </w:tc>
        <w:tc>
          <w:tcPr>
            <w:tcW w:type="dxa" w:w="1337"/>
          </w:tcPr>
          <w:p>
            <w:r>
              <w:rPr>
                <w:rFonts w:ascii="Times New Roman" w:hAnsi="Times New Roman"/>
                <w:sz w:val="18"/>
              </w:rPr>
              <w:t>0.066</w:t>
            </w:r>
          </w:p>
        </w:tc>
        <w:tc>
          <w:tcPr>
            <w:tcW w:type="dxa" w:w="1337"/>
          </w:tcPr>
          <w:p>
            <w:r>
              <w:rPr>
                <w:rFonts w:ascii="Times New Roman" w:hAnsi="Times New Roman"/>
                <w:sz w:val="18"/>
              </w:rPr>
              <w:t>0.131</w:t>
            </w:r>
          </w:p>
        </w:tc>
        <w:tc>
          <w:tcPr>
            <w:tcW w:type="dxa" w:w="1337"/>
          </w:tcPr>
          <w:p>
            <w:r>
              <w:rPr>
                <w:rFonts w:ascii="Times New Roman" w:hAnsi="Times New Roman"/>
                <w:sz w:val="18"/>
              </w:rPr>
              <w:t>9.5×10⁻⁵</w:t>
            </w:r>
          </w:p>
        </w:tc>
        <w:tc>
          <w:tcPr>
            <w:tcW w:type="dxa" w:w="1337"/>
          </w:tcPr>
          <w:p>
            <w:r>
              <w:rPr>
                <w:rFonts w:ascii="Times New Roman" w:hAnsi="Times New Roman"/>
                <w:sz w:val="18"/>
              </w:rPr>
              <w:t>2.86 [−0.20, 5.93]</w:t>
            </w:r>
          </w:p>
        </w:tc>
      </w:tr>
      <w:tr>
        <w:tc>
          <w:tcPr>
            <w:tcW w:type="dxa" w:w="1337"/>
          </w:tcPr>
          <w:p>
            <w:r>
              <w:rPr>
                <w:rFonts w:ascii="Times New Roman" w:hAnsi="Times New Roman"/>
                <w:sz w:val="18"/>
              </w:rPr>
              <w:t>Adaptive Shannon</w:t>
            </w:r>
          </w:p>
        </w:tc>
        <w:tc>
          <w:tcPr>
            <w:tcW w:type="dxa" w:w="1337"/>
          </w:tcPr>
          <w:p>
            <w:r>
              <w:rPr>
                <w:rFonts w:ascii="Times New Roman" w:hAnsi="Times New Roman"/>
                <w:sz w:val="18"/>
              </w:rPr>
              <w:t>MMN</w:t>
            </w:r>
          </w:p>
        </w:tc>
        <w:tc>
          <w:tcPr>
            <w:tcW w:type="dxa" w:w="1337"/>
          </w:tcPr>
          <w:p>
            <w:r>
              <w:rPr>
                <w:rFonts w:ascii="Times New Roman" w:hAnsi="Times New Roman"/>
                <w:sz w:val="18"/>
              </w:rPr>
              <w:t>+1.8</w:t>
            </w:r>
          </w:p>
        </w:tc>
        <w:tc>
          <w:tcPr>
            <w:tcW w:type="dxa" w:w="1337"/>
          </w:tcPr>
          <w:p>
            <w:r>
              <w:rPr>
                <w:rFonts w:ascii="Times New Roman" w:hAnsi="Times New Roman"/>
                <w:sz w:val="18"/>
              </w:rPr>
              <w:t>0.674</w:t>
            </w:r>
          </w:p>
        </w:tc>
        <w:tc>
          <w:tcPr>
            <w:tcW w:type="dxa" w:w="1337"/>
          </w:tcPr>
          <w:p>
            <w:r>
              <w:rPr>
                <w:rFonts w:ascii="Times New Roman" w:hAnsi="Times New Roman"/>
                <w:sz w:val="18"/>
              </w:rPr>
              <w:t>0.674</w:t>
            </w:r>
          </w:p>
        </w:tc>
        <w:tc>
          <w:tcPr>
            <w:tcW w:type="dxa" w:w="1337"/>
          </w:tcPr>
          <w:p>
            <w:r>
              <w:rPr>
                <w:rFonts w:ascii="Times New Roman" w:hAnsi="Times New Roman"/>
                <w:sz w:val="18"/>
              </w:rPr>
              <w:t>5.0×10⁻⁶</w:t>
            </w:r>
          </w:p>
        </w:tc>
        <w:tc>
          <w:tcPr>
            <w:tcW w:type="dxa" w:w="1337"/>
          </w:tcPr>
          <w:p>
            <w:r>
              <w:rPr>
                <w:rFonts w:ascii="Times New Roman" w:hAnsi="Times New Roman"/>
                <w:sz w:val="18"/>
              </w:rPr>
              <w:t>−0.03 [−0.20, 0.13]</w:t>
            </w:r>
          </w:p>
        </w:tc>
      </w:tr>
      <w:tr>
        <w:tc>
          <w:tcPr>
            <w:tcW w:type="dxa" w:w="1337"/>
          </w:tcPr>
          <w:p>
            <w:r>
              <w:rPr>
                <w:rFonts w:ascii="Times New Roman" w:hAnsi="Times New Roman"/>
                <w:sz w:val="18"/>
              </w:rPr>
              <w:t>Bayesian</w:t>
            </w:r>
          </w:p>
        </w:tc>
        <w:tc>
          <w:tcPr>
            <w:tcW w:type="dxa" w:w="1337"/>
          </w:tcPr>
          <w:p>
            <w:r>
              <w:rPr>
                <w:rFonts w:ascii="Times New Roman" w:hAnsi="Times New Roman"/>
                <w:sz w:val="18"/>
              </w:rPr>
              <w:t>MMN</w:t>
            </w:r>
          </w:p>
        </w:tc>
        <w:tc>
          <w:tcPr>
            <w:tcW w:type="dxa" w:w="1337"/>
          </w:tcPr>
          <w:p>
            <w:r>
              <w:rPr>
                <w:rFonts w:ascii="Times New Roman" w:hAnsi="Times New Roman"/>
                <w:sz w:val="18"/>
              </w:rPr>
              <w:t>−3.9</w:t>
            </w:r>
          </w:p>
        </w:tc>
        <w:tc>
          <w:tcPr>
            <w:tcW w:type="dxa" w:w="1337"/>
          </w:tcPr>
          <w:p>
            <w:r>
              <w:rPr>
                <w:rFonts w:ascii="Times New Roman" w:hAnsi="Times New Roman"/>
                <w:sz w:val="18"/>
              </w:rPr>
              <w:t>0.015</w:t>
            </w:r>
          </w:p>
        </w:tc>
        <w:tc>
          <w:tcPr>
            <w:tcW w:type="dxa" w:w="1337"/>
          </w:tcPr>
          <w:p>
            <w:r>
              <w:rPr>
                <w:rFonts w:ascii="Times New Roman" w:hAnsi="Times New Roman"/>
                <w:sz w:val="18"/>
              </w:rPr>
              <w:t>0.062</w:t>
            </w:r>
          </w:p>
        </w:tc>
        <w:tc>
          <w:tcPr>
            <w:tcW w:type="dxa" w:w="1337"/>
          </w:tcPr>
          <w:p>
            <w:r>
              <w:rPr>
                <w:rFonts w:ascii="Times New Roman" w:hAnsi="Times New Roman"/>
                <w:sz w:val="18"/>
              </w:rPr>
              <w:t>1.6×10⁻⁴</w:t>
            </w:r>
          </w:p>
        </w:tc>
        <w:tc>
          <w:tcPr>
            <w:tcW w:type="dxa" w:w="1337"/>
          </w:tcPr>
          <w:p>
            <w:r>
              <w:rPr>
                <w:rFonts w:ascii="Times New Roman" w:hAnsi="Times New Roman"/>
                <w:sz w:val="18"/>
              </w:rPr>
              <w:t>−0.06 [−0.11, −0.01]</w:t>
            </w:r>
          </w:p>
        </w:tc>
      </w:tr>
      <w:tr>
        <w:tc>
          <w:tcPr>
            <w:tcW w:type="dxa" w:w="1337"/>
          </w:tcPr>
          <w:p>
            <w:r>
              <w:rPr>
                <w:rFonts w:ascii="Times New Roman" w:hAnsi="Times New Roman"/>
                <w:sz w:val="18"/>
              </w:rPr>
              <w:t>Change-point</w:t>
            </w:r>
          </w:p>
        </w:tc>
        <w:tc>
          <w:tcPr>
            <w:tcW w:type="dxa" w:w="1337"/>
          </w:tcPr>
          <w:p>
            <w:r>
              <w:rPr>
                <w:rFonts w:ascii="Times New Roman" w:hAnsi="Times New Roman"/>
                <w:sz w:val="18"/>
              </w:rPr>
              <w:t>MMN</w:t>
            </w:r>
          </w:p>
        </w:tc>
        <w:tc>
          <w:tcPr>
            <w:tcW w:type="dxa" w:w="1337"/>
          </w:tcPr>
          <w:p>
            <w:r>
              <w:rPr>
                <w:rFonts w:ascii="Times New Roman" w:hAnsi="Times New Roman"/>
                <w:sz w:val="18"/>
              </w:rPr>
              <w:t>−2.3</w:t>
            </w:r>
          </w:p>
        </w:tc>
        <w:tc>
          <w:tcPr>
            <w:tcW w:type="dxa" w:w="1337"/>
          </w:tcPr>
          <w:p>
            <w:r>
              <w:rPr>
                <w:rFonts w:ascii="Times New Roman" w:hAnsi="Times New Roman"/>
                <w:sz w:val="18"/>
              </w:rPr>
              <w:t>0.038</w:t>
            </w:r>
          </w:p>
        </w:tc>
        <w:tc>
          <w:tcPr>
            <w:tcW w:type="dxa" w:w="1337"/>
          </w:tcPr>
          <w:p>
            <w:r>
              <w:rPr>
                <w:rFonts w:ascii="Times New Roman" w:hAnsi="Times New Roman"/>
                <w:sz w:val="18"/>
              </w:rPr>
              <w:t>0.115</w:t>
            </w:r>
          </w:p>
        </w:tc>
        <w:tc>
          <w:tcPr>
            <w:tcW w:type="dxa" w:w="1337"/>
          </w:tcPr>
          <w:p>
            <w:r>
              <w:rPr>
                <w:rFonts w:ascii="Times New Roman" w:hAnsi="Times New Roman"/>
                <w:sz w:val="18"/>
              </w:rPr>
              <w:t>1.2×10⁻⁴</w:t>
            </w:r>
          </w:p>
        </w:tc>
        <w:tc>
          <w:tcPr>
            <w:tcW w:type="dxa" w:w="1337"/>
          </w:tcPr>
          <w:p>
            <w:r>
              <w:rPr>
                <w:rFonts w:ascii="Times New Roman" w:hAnsi="Times New Roman"/>
                <w:sz w:val="18"/>
              </w:rPr>
              <w:t>−0.41 [−0.81, −0.02]</w:t>
            </w:r>
          </w:p>
        </w:tc>
      </w:tr>
      <w:tr>
        <w:tc>
          <w:tcPr>
            <w:tcW w:type="dxa" w:w="1337"/>
          </w:tcPr>
          <w:p>
            <w:r>
              <w:rPr>
                <w:rFonts w:ascii="Times New Roman" w:hAnsi="Times New Roman"/>
                <w:sz w:val="18"/>
              </w:rPr>
              <w:t>Static Shannon</w:t>
            </w:r>
          </w:p>
        </w:tc>
        <w:tc>
          <w:tcPr>
            <w:tcW w:type="dxa" w:w="1337"/>
          </w:tcPr>
          <w:p>
            <w:r>
              <w:rPr>
                <w:rFonts w:ascii="Times New Roman" w:hAnsi="Times New Roman"/>
                <w:sz w:val="18"/>
              </w:rPr>
              <w:t>P3b</w:t>
            </w:r>
          </w:p>
        </w:tc>
        <w:tc>
          <w:tcPr>
            <w:tcW w:type="dxa" w:w="1337"/>
          </w:tcPr>
          <w:p>
            <w:r>
              <w:rPr>
                <w:rFonts w:ascii="Times New Roman" w:hAnsi="Times New Roman"/>
                <w:sz w:val="18"/>
              </w:rPr>
              <w:t>+1.3</w:t>
            </w:r>
          </w:p>
        </w:tc>
        <w:tc>
          <w:tcPr>
            <w:tcW w:type="dxa" w:w="1337"/>
          </w:tcPr>
          <w:p>
            <w:r>
              <w:rPr>
                <w:rFonts w:ascii="Times New Roman" w:hAnsi="Times New Roman"/>
                <w:sz w:val="18"/>
              </w:rPr>
              <w:t>0.394</w:t>
            </w:r>
          </w:p>
        </w:tc>
        <w:tc>
          <w:tcPr>
            <w:tcW w:type="dxa" w:w="1337"/>
          </w:tcPr>
          <w:p>
            <w:r>
              <w:rPr>
                <w:rFonts w:ascii="Times New Roman" w:hAnsi="Times New Roman"/>
                <w:sz w:val="18"/>
              </w:rPr>
              <w:t>1.000</w:t>
            </w:r>
          </w:p>
        </w:tc>
        <w:tc>
          <w:tcPr>
            <w:tcW w:type="dxa" w:w="1337"/>
          </w:tcPr>
          <w:p>
            <w:r>
              <w:rPr>
                <w:rFonts w:ascii="Times New Roman" w:hAnsi="Times New Roman"/>
                <w:sz w:val="18"/>
              </w:rPr>
              <w:t>2.0×10⁻⁵</w:t>
            </w:r>
          </w:p>
        </w:tc>
        <w:tc>
          <w:tcPr>
            <w:tcW w:type="dxa" w:w="1337"/>
          </w:tcPr>
          <w:p>
            <w:r>
              <w:rPr>
                <w:rFonts w:ascii="Times New Roman" w:hAnsi="Times New Roman"/>
                <w:sz w:val="18"/>
              </w:rPr>
              <w:t>1.51 [−1.98, 4.99]</w:t>
            </w:r>
          </w:p>
        </w:tc>
      </w:tr>
      <w:tr>
        <w:tc>
          <w:tcPr>
            <w:tcW w:type="dxa" w:w="1337"/>
          </w:tcPr>
          <w:p>
            <w:r>
              <w:rPr>
                <w:rFonts w:ascii="Times New Roman" w:hAnsi="Times New Roman"/>
                <w:sz w:val="18"/>
              </w:rPr>
              <w:t>Adaptive Shannon</w:t>
            </w:r>
          </w:p>
        </w:tc>
        <w:tc>
          <w:tcPr>
            <w:tcW w:type="dxa" w:w="1337"/>
          </w:tcPr>
          <w:p>
            <w:r>
              <w:rPr>
                <w:rFonts w:ascii="Times New Roman" w:hAnsi="Times New Roman"/>
                <w:sz w:val="18"/>
              </w:rPr>
              <w:t>P3b</w:t>
            </w:r>
          </w:p>
        </w:tc>
        <w:tc>
          <w:tcPr>
            <w:tcW w:type="dxa" w:w="1337"/>
          </w:tcPr>
          <w:p>
            <w:r>
              <w:rPr>
                <w:rFonts w:ascii="Times New Roman" w:hAnsi="Times New Roman"/>
                <w:sz w:val="18"/>
              </w:rPr>
              <w:t>+1.6</w:t>
            </w:r>
          </w:p>
        </w:tc>
        <w:tc>
          <w:tcPr>
            <w:tcW w:type="dxa" w:w="1337"/>
          </w:tcPr>
          <w:p>
            <w:r>
              <w:rPr>
                <w:rFonts w:ascii="Times New Roman" w:hAnsi="Times New Roman"/>
                <w:sz w:val="18"/>
              </w:rPr>
              <w:t>0.540</w:t>
            </w:r>
          </w:p>
        </w:tc>
        <w:tc>
          <w:tcPr>
            <w:tcW w:type="dxa" w:w="1337"/>
          </w:tcPr>
          <w:p>
            <w:r>
              <w:rPr>
                <w:rFonts w:ascii="Times New Roman" w:hAnsi="Times New Roman"/>
                <w:sz w:val="18"/>
              </w:rPr>
              <w:t>1.000</w:t>
            </w:r>
          </w:p>
        </w:tc>
        <w:tc>
          <w:tcPr>
            <w:tcW w:type="dxa" w:w="1337"/>
          </w:tcPr>
          <w:p>
            <w:r>
              <w:rPr>
                <w:rFonts w:ascii="Times New Roman" w:hAnsi="Times New Roman"/>
                <w:sz w:val="18"/>
              </w:rPr>
              <w:t>1.1×10⁻⁵</w:t>
            </w:r>
          </w:p>
        </w:tc>
        <w:tc>
          <w:tcPr>
            <w:tcW w:type="dxa" w:w="1337"/>
          </w:tcPr>
          <w:p>
            <w:r>
              <w:rPr>
                <w:rFonts w:ascii="Times New Roman" w:hAnsi="Times New Roman"/>
                <w:sz w:val="18"/>
              </w:rPr>
              <w:t>0.06 [−0.13, 0.24]</w:t>
            </w:r>
          </w:p>
        </w:tc>
      </w:tr>
      <w:tr>
        <w:tc>
          <w:tcPr>
            <w:tcW w:type="dxa" w:w="1337"/>
          </w:tcPr>
          <w:p>
            <w:r>
              <w:rPr>
                <w:rFonts w:ascii="Times New Roman" w:hAnsi="Times New Roman"/>
                <w:sz w:val="18"/>
              </w:rPr>
              <w:t>Bayesian</w:t>
            </w:r>
          </w:p>
        </w:tc>
        <w:tc>
          <w:tcPr>
            <w:tcW w:type="dxa" w:w="1337"/>
          </w:tcPr>
          <w:p>
            <w:r>
              <w:rPr>
                <w:rFonts w:ascii="Times New Roman" w:hAnsi="Times New Roman"/>
                <w:sz w:val="18"/>
              </w:rPr>
              <w:t>P3b</w:t>
            </w:r>
          </w:p>
        </w:tc>
        <w:tc>
          <w:tcPr>
            <w:tcW w:type="dxa" w:w="1337"/>
          </w:tcPr>
          <w:p>
            <w:r>
              <w:rPr>
                <w:rFonts w:ascii="Times New Roman" w:hAnsi="Times New Roman"/>
                <w:sz w:val="18"/>
              </w:rPr>
              <w:t>+1.8</w:t>
            </w:r>
          </w:p>
        </w:tc>
        <w:tc>
          <w:tcPr>
            <w:tcW w:type="dxa" w:w="1337"/>
          </w:tcPr>
          <w:p>
            <w:r>
              <w:rPr>
                <w:rFonts w:ascii="Times New Roman" w:hAnsi="Times New Roman"/>
                <w:sz w:val="18"/>
              </w:rPr>
              <w:t>0.679</w:t>
            </w:r>
          </w:p>
        </w:tc>
        <w:tc>
          <w:tcPr>
            <w:tcW w:type="dxa" w:w="1337"/>
          </w:tcPr>
          <w:p>
            <w:r>
              <w:rPr>
                <w:rFonts w:ascii="Times New Roman" w:hAnsi="Times New Roman"/>
                <w:sz w:val="18"/>
              </w:rPr>
              <w:t>1.000</w:t>
            </w:r>
          </w:p>
        </w:tc>
        <w:tc>
          <w:tcPr>
            <w:tcW w:type="dxa" w:w="1337"/>
          </w:tcPr>
          <w:p>
            <w:r>
              <w:rPr>
                <w:rFonts w:ascii="Times New Roman" w:hAnsi="Times New Roman"/>
                <w:sz w:val="18"/>
              </w:rPr>
              <w:t>4.4×10⁻⁶</w:t>
            </w:r>
          </w:p>
        </w:tc>
        <w:tc>
          <w:tcPr>
            <w:tcW w:type="dxa" w:w="1337"/>
          </w:tcPr>
          <w:p>
            <w:r>
              <w:rPr>
                <w:rFonts w:ascii="Times New Roman" w:hAnsi="Times New Roman"/>
                <w:sz w:val="18"/>
              </w:rPr>
              <w:t>−0.01 [−0.07, 0.05]</w:t>
            </w:r>
          </w:p>
        </w:tc>
      </w:tr>
      <w:tr>
        <w:tc>
          <w:tcPr>
            <w:tcW w:type="dxa" w:w="1337"/>
          </w:tcPr>
          <w:p>
            <w:r>
              <w:rPr>
                <w:rFonts w:ascii="Times New Roman" w:hAnsi="Times New Roman"/>
                <w:sz w:val="18"/>
              </w:rPr>
              <w:t>Change-point</w:t>
            </w:r>
          </w:p>
        </w:tc>
        <w:tc>
          <w:tcPr>
            <w:tcW w:type="dxa" w:w="1337"/>
          </w:tcPr>
          <w:p>
            <w:r>
              <w:rPr>
                <w:rFonts w:ascii="Times New Roman" w:hAnsi="Times New Roman"/>
                <w:sz w:val="18"/>
              </w:rPr>
              <w:t>P3b</w:t>
            </w:r>
          </w:p>
        </w:tc>
        <w:tc>
          <w:tcPr>
            <w:tcW w:type="dxa" w:w="1337"/>
          </w:tcPr>
          <w:p>
            <w:r>
              <w:rPr>
                <w:rFonts w:ascii="Times New Roman" w:hAnsi="Times New Roman"/>
                <w:sz w:val="18"/>
              </w:rPr>
              <w:t>+1.7</w:t>
            </w:r>
          </w:p>
        </w:tc>
        <w:tc>
          <w:tcPr>
            <w:tcW w:type="dxa" w:w="1337"/>
          </w:tcPr>
          <w:p>
            <w:r>
              <w:rPr>
                <w:rFonts w:ascii="Times New Roman" w:hAnsi="Times New Roman"/>
                <w:sz w:val="18"/>
              </w:rPr>
              <w:t>0.557</w:t>
            </w:r>
          </w:p>
        </w:tc>
        <w:tc>
          <w:tcPr>
            <w:tcW w:type="dxa" w:w="1337"/>
          </w:tcPr>
          <w:p>
            <w:r>
              <w:rPr>
                <w:rFonts w:ascii="Times New Roman" w:hAnsi="Times New Roman"/>
                <w:sz w:val="18"/>
              </w:rPr>
              <w:t>1.000</w:t>
            </w:r>
          </w:p>
        </w:tc>
        <w:tc>
          <w:tcPr>
            <w:tcW w:type="dxa" w:w="1337"/>
          </w:tcPr>
          <w:p>
            <w:r>
              <w:rPr>
                <w:rFonts w:ascii="Times New Roman" w:hAnsi="Times New Roman"/>
                <w:sz w:val="18"/>
              </w:rPr>
              <w:t>9.7×10⁻⁶</w:t>
            </w:r>
          </w:p>
        </w:tc>
        <w:tc>
          <w:tcPr>
            <w:tcW w:type="dxa" w:w="1337"/>
          </w:tcPr>
          <w:p>
            <w:r>
              <w:rPr>
                <w:rFonts w:ascii="Times New Roman" w:hAnsi="Times New Roman"/>
                <w:sz w:val="18"/>
              </w:rPr>
              <w:t>−0.13 [−0.58, 0.31]</w:t>
            </w:r>
          </w:p>
        </w:tc>
      </w:tr>
    </w:tbl>
    <w:p>
      <w:pPr>
        <w:spacing w:after="0" w:before="0"/>
      </w:pPr>
    </w:p>
    <w:p>
      <w:pPr>
        <w:spacing w:after="80"/>
      </w:pPr>
      <w:r>
        <w:rPr>
          <w:rFonts w:ascii="Times New Roman" w:hAnsi="Times New Roman"/>
          <w:b/>
          <w:sz w:val="20"/>
        </w:rPr>
        <w:t>Table 2B.</w:t>
      </w:r>
      <w:r>
        <w:rPr>
          <w:rFonts w:ascii="Times New Roman" w:hAnsi="Times New Roman"/>
          <w:sz w:val="20"/>
        </w:rPr>
        <w:t xml:space="preserve"> Encoding model comparison — P3 paradigm (N = 36). Same analysis as Table 2A, applied to the visual P3 paradigm as an internal replication. Only the P3b window (250–500 ms) is reported.</w:t>
      </w:r>
    </w:p>
    <w:tbl>
      <w:tblPr>
        <w:tblStyle w:val="LightShading"/>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18"/>
              </w:rPr>
              <w:t>Model</w:t>
            </w:r>
          </w:p>
        </w:tc>
        <w:tc>
          <w:tcPr>
            <w:tcW w:type="dxa" w:w="1560"/>
          </w:tcPr>
          <w:p>
            <w:r>
              <w:rPr>
                <w:rFonts w:ascii="Times New Roman" w:hAnsi="Times New Roman"/>
                <w:b/>
                <w:sz w:val="18"/>
              </w:rPr>
              <w:t>Window</w:t>
            </w:r>
          </w:p>
        </w:tc>
        <w:tc>
          <w:tcPr>
            <w:tcW w:type="dxa" w:w="1560"/>
          </w:tcPr>
          <w:p>
            <w:r>
              <w:rPr>
                <w:rFonts w:ascii="Times New Roman" w:hAnsi="Times New Roman"/>
                <w:b/>
                <w:sz w:val="18"/>
              </w:rPr>
              <w:t>ΔAIC</w:t>
            </w:r>
          </w:p>
        </w:tc>
        <w:tc>
          <w:tcPr>
            <w:tcW w:type="dxa" w:w="1560"/>
          </w:tcPr>
          <w:p>
            <w:r>
              <w:rPr>
                <w:rFonts w:ascii="Times New Roman" w:hAnsi="Times New Roman"/>
                <w:b/>
                <w:sz w:val="18"/>
              </w:rPr>
              <w:t>p (uncorr.)</w:t>
            </w:r>
          </w:p>
        </w:tc>
        <w:tc>
          <w:tcPr>
            <w:tcW w:type="dxa" w:w="1560"/>
          </w:tcPr>
          <w:p>
            <w:r>
              <w:rPr>
                <w:rFonts w:ascii="Times New Roman" w:hAnsi="Times New Roman"/>
                <w:b/>
                <w:sz w:val="18"/>
              </w:rPr>
              <w:t>p (Holm)</w:t>
            </w:r>
          </w:p>
        </w:tc>
        <w:tc>
          <w:tcPr>
            <w:tcW w:type="dxa" w:w="1560"/>
          </w:tcPr>
          <w:p>
            <w:r>
              <w:rPr>
                <w:rFonts w:ascii="Times New Roman" w:hAnsi="Times New Roman"/>
                <w:b/>
                <w:sz w:val="18"/>
              </w:rPr>
              <w:t>β [95% CI]</w:t>
            </w:r>
          </w:p>
        </w:tc>
      </w:tr>
      <w:tr>
        <w:tc>
          <w:tcPr>
            <w:tcW w:type="dxa" w:w="1560"/>
          </w:tcPr>
          <w:p>
            <w:r>
              <w:rPr>
                <w:rFonts w:ascii="Times New Roman" w:hAnsi="Times New Roman"/>
                <w:sz w:val="18"/>
              </w:rPr>
              <w:t>Static Shannon</w:t>
            </w:r>
          </w:p>
        </w:tc>
        <w:tc>
          <w:tcPr>
            <w:tcW w:type="dxa" w:w="1560"/>
          </w:tcPr>
          <w:p>
            <w:r>
              <w:rPr>
                <w:rFonts w:ascii="Times New Roman" w:hAnsi="Times New Roman"/>
                <w:sz w:val="18"/>
              </w:rPr>
              <w:t>P3b</w:t>
            </w:r>
          </w:p>
        </w:tc>
        <w:tc>
          <w:tcPr>
            <w:tcW w:type="dxa" w:w="1560"/>
          </w:tcPr>
          <w:p>
            <w:r>
              <w:rPr>
                <w:rFonts w:ascii="Times New Roman" w:hAnsi="Times New Roman"/>
                <w:sz w:val="18"/>
              </w:rPr>
              <w:t>+1.7</w:t>
            </w:r>
          </w:p>
        </w:tc>
        <w:tc>
          <w:tcPr>
            <w:tcW w:type="dxa" w:w="1560"/>
          </w:tcPr>
          <w:p>
            <w:r>
              <w:rPr>
                <w:rFonts w:ascii="Times New Roman" w:hAnsi="Times New Roman"/>
                <w:sz w:val="18"/>
              </w:rPr>
              <w:t>0.585</w:t>
            </w:r>
          </w:p>
        </w:tc>
        <w:tc>
          <w:tcPr>
            <w:tcW w:type="dxa" w:w="1560"/>
          </w:tcPr>
          <w:p>
            <w:r>
              <w:rPr>
                <w:rFonts w:ascii="Times New Roman" w:hAnsi="Times New Roman"/>
                <w:sz w:val="18"/>
              </w:rPr>
              <w:t>1.000</w:t>
            </w:r>
          </w:p>
        </w:tc>
        <w:tc>
          <w:tcPr>
            <w:tcW w:type="dxa" w:w="1560"/>
          </w:tcPr>
          <w:p>
            <w:r>
              <w:rPr>
                <w:rFonts w:ascii="Times New Roman" w:hAnsi="Times New Roman"/>
                <w:sz w:val="18"/>
              </w:rPr>
              <w:t>−0.35 [−1.59, 0.90]</w:t>
            </w:r>
          </w:p>
        </w:tc>
      </w:tr>
      <w:tr>
        <w:tc>
          <w:tcPr>
            <w:tcW w:type="dxa" w:w="1560"/>
          </w:tcPr>
          <w:p>
            <w:r>
              <w:rPr>
                <w:rFonts w:ascii="Times New Roman" w:hAnsi="Times New Roman"/>
                <w:sz w:val="18"/>
              </w:rPr>
              <w:t>Adaptive Shannon</w:t>
            </w:r>
          </w:p>
        </w:tc>
        <w:tc>
          <w:tcPr>
            <w:tcW w:type="dxa" w:w="1560"/>
          </w:tcPr>
          <w:p>
            <w:r>
              <w:rPr>
                <w:rFonts w:ascii="Times New Roman" w:hAnsi="Times New Roman"/>
                <w:sz w:val="18"/>
              </w:rPr>
              <w:t>P3b</w:t>
            </w:r>
          </w:p>
        </w:tc>
        <w:tc>
          <w:tcPr>
            <w:tcW w:type="dxa" w:w="1560"/>
          </w:tcPr>
          <w:p>
            <w:r>
              <w:rPr>
                <w:rFonts w:ascii="Times New Roman" w:hAnsi="Times New Roman"/>
                <w:sz w:val="18"/>
              </w:rPr>
              <w:t>+0.2</w:t>
            </w:r>
          </w:p>
        </w:tc>
        <w:tc>
          <w:tcPr>
            <w:tcW w:type="dxa" w:w="1560"/>
          </w:tcPr>
          <w:p>
            <w:r>
              <w:rPr>
                <w:rFonts w:ascii="Times New Roman" w:hAnsi="Times New Roman"/>
                <w:sz w:val="18"/>
              </w:rPr>
              <w:t>0.185</w:t>
            </w:r>
          </w:p>
        </w:tc>
        <w:tc>
          <w:tcPr>
            <w:tcW w:type="dxa" w:w="1560"/>
          </w:tcPr>
          <w:p>
            <w:r>
              <w:rPr>
                <w:rFonts w:ascii="Times New Roman" w:hAnsi="Times New Roman"/>
                <w:sz w:val="18"/>
              </w:rPr>
              <w:t>0.369</w:t>
            </w:r>
          </w:p>
        </w:tc>
        <w:tc>
          <w:tcPr>
            <w:tcW w:type="dxa" w:w="1560"/>
          </w:tcPr>
          <w:p>
            <w:r>
              <w:rPr>
                <w:rFonts w:ascii="Times New Roman" w:hAnsi="Times New Roman"/>
                <w:sz w:val="18"/>
              </w:rPr>
              <w:t>0.30 [−0.14, 0.74]</w:t>
            </w:r>
          </w:p>
        </w:tc>
      </w:tr>
      <w:tr>
        <w:tc>
          <w:tcPr>
            <w:tcW w:type="dxa" w:w="1560"/>
          </w:tcPr>
          <w:p>
            <w:r>
              <w:rPr>
                <w:rFonts w:ascii="Times New Roman" w:hAnsi="Times New Roman"/>
                <w:sz w:val="18"/>
              </w:rPr>
              <w:t>Bayesian</w:t>
            </w:r>
          </w:p>
        </w:tc>
        <w:tc>
          <w:tcPr>
            <w:tcW w:type="dxa" w:w="1560"/>
          </w:tcPr>
          <w:p>
            <w:r>
              <w:rPr>
                <w:rFonts w:ascii="Times New Roman" w:hAnsi="Times New Roman"/>
                <w:sz w:val="18"/>
              </w:rPr>
              <w:t>P3b</w:t>
            </w:r>
          </w:p>
        </w:tc>
        <w:tc>
          <w:tcPr>
            <w:tcW w:type="dxa" w:w="1560"/>
          </w:tcPr>
          <w:p>
            <w:r>
              <w:rPr>
                <w:rFonts w:ascii="Times New Roman" w:hAnsi="Times New Roman"/>
                <w:sz w:val="18"/>
              </w:rPr>
              <w:t>−2.0</w:t>
            </w:r>
          </w:p>
        </w:tc>
        <w:tc>
          <w:tcPr>
            <w:tcW w:type="dxa" w:w="1560"/>
          </w:tcPr>
          <w:p>
            <w:r>
              <w:rPr>
                <w:rFonts w:ascii="Times New Roman" w:hAnsi="Times New Roman"/>
                <w:sz w:val="18"/>
              </w:rPr>
              <w:t>0.044</w:t>
            </w:r>
          </w:p>
        </w:tc>
        <w:tc>
          <w:tcPr>
            <w:tcW w:type="dxa" w:w="1560"/>
          </w:tcPr>
          <w:p>
            <w:r>
              <w:rPr>
                <w:rFonts w:ascii="Times New Roman" w:hAnsi="Times New Roman"/>
                <w:sz w:val="18"/>
              </w:rPr>
              <w:t>0.131</w:t>
            </w:r>
          </w:p>
        </w:tc>
        <w:tc>
          <w:tcPr>
            <w:tcW w:type="dxa" w:w="1560"/>
          </w:tcPr>
          <w:p>
            <w:r>
              <w:rPr>
                <w:rFonts w:ascii="Times New Roman" w:hAnsi="Times New Roman"/>
                <w:sz w:val="18"/>
              </w:rPr>
              <w:t>0.16 [0.004, 0.32]</w:t>
            </w:r>
          </w:p>
        </w:tc>
      </w:tr>
      <w:tr>
        <w:tc>
          <w:tcPr>
            <w:tcW w:type="dxa" w:w="1560"/>
          </w:tcPr>
          <w:p>
            <w:r>
              <w:rPr>
                <w:rFonts w:ascii="Times New Roman" w:hAnsi="Times New Roman"/>
                <w:sz w:val="18"/>
              </w:rPr>
              <w:t>Change-point</w:t>
            </w:r>
          </w:p>
        </w:tc>
        <w:tc>
          <w:tcPr>
            <w:tcW w:type="dxa" w:w="1560"/>
          </w:tcPr>
          <w:p>
            <w:r>
              <w:rPr>
                <w:rFonts w:ascii="Times New Roman" w:hAnsi="Times New Roman"/>
                <w:sz w:val="18"/>
              </w:rPr>
              <w:t>P3b</w:t>
            </w:r>
          </w:p>
        </w:tc>
        <w:tc>
          <w:tcPr>
            <w:tcW w:type="dxa" w:w="1560"/>
          </w:tcPr>
          <w:p>
            <w:r>
              <w:rPr>
                <w:rFonts w:ascii="Times New Roman" w:hAnsi="Times New Roman"/>
                <w:sz w:val="18"/>
              </w:rPr>
              <w:t>−3.7</w:t>
            </w:r>
          </w:p>
        </w:tc>
        <w:tc>
          <w:tcPr>
            <w:tcW w:type="dxa" w:w="1560"/>
          </w:tcPr>
          <w:p>
            <w:r>
              <w:rPr>
                <w:rFonts w:ascii="Times New Roman" w:hAnsi="Times New Roman"/>
                <w:sz w:val="18"/>
              </w:rPr>
              <w:t>0.017</w:t>
            </w:r>
          </w:p>
        </w:tc>
        <w:tc>
          <w:tcPr>
            <w:tcW w:type="dxa" w:w="1560"/>
          </w:tcPr>
          <w:p>
            <w:r>
              <w:rPr>
                <w:rFonts w:ascii="Times New Roman" w:hAnsi="Times New Roman"/>
                <w:sz w:val="18"/>
              </w:rPr>
              <w:t>0.069</w:t>
            </w:r>
          </w:p>
        </w:tc>
        <w:tc>
          <w:tcPr>
            <w:tcW w:type="dxa" w:w="1560"/>
          </w:tcPr>
          <w:p>
            <w:r>
              <w:rPr>
                <w:rFonts w:ascii="Times New Roman" w:hAnsi="Times New Roman"/>
                <w:sz w:val="18"/>
              </w:rPr>
              <w:t>0.76 [0.13, 1.38]</w:t>
            </w:r>
          </w:p>
        </w:tc>
      </w:tr>
    </w:tbl>
    <w:p>
      <w:pPr>
        <w:spacing w:after="0" w:before="0"/>
      </w:pPr>
    </w:p>
    <w:p>
      <w:pPr>
        <w:pStyle w:val="Heading2"/>
      </w:pPr>
      <w:r>
        <w:rPr>
          <w:rFonts w:ascii="Times New Roman" w:hAnsi="Times New Roman"/>
          <w:color w:val="000000"/>
        </w:rPr>
        <w:t>3.3 Encoding Results (H1)</w:t>
      </w:r>
    </w:p>
    <w:p>
      <w:pPr>
        <w:ind w:firstLine="720"/>
      </w:pPr>
      <w:r>
        <w:rPr>
          <w:rFonts w:ascii="Times New Roman" w:hAnsi="Times New Roman"/>
          <w:sz w:val="24"/>
        </w:rPr>
      </w:r>
      <w:r>
        <w:rPr>
          <w:rFonts w:ascii="Times New Roman" w:hAnsi="Times New Roman"/>
          <w:b/>
          <w:sz w:val="24"/>
        </w:rPr>
        <w:t>MMN paradigm (primary).</w:t>
      </w:r>
      <w:r>
        <w:rPr>
          <w:rFonts w:ascii="Times New Roman" w:hAnsi="Times New Roman"/>
          <w:sz w:val="24"/>
        </w:rPr>
        <w:t xml:space="preserve"> Bayesian surprise showed the strongest association with single-trial MMN amplitude (ΔAIC = −3.9, uncorrected p = 0.015), but did not survive Holm–Bonferroni correction (p_corrected = 0.062). Change-point surprise was marginal before correction (ΔAIC = −2.3, p = 0.038, p_corrected = 0.115). Static Shannon (p = 0.066) and adaptive Shannon (p = 0.674) did not reach significance. No surprise model significantly predicted P3b amplitude in the MMN paradigm (all p &gt; 0.39; Table 2A). All partial R² values were very small (&lt;0.02%), indicating that surprise explains a negligible fraction of single-trial variance beyond stimulus class.</w:t>
      </w:r>
    </w:p>
    <w:p>
      <w:pPr>
        <w:ind w:firstLine="720"/>
      </w:pPr>
      <w:r>
        <w:rPr>
          <w:rFonts w:ascii="Times New Roman" w:hAnsi="Times New Roman"/>
          <w:sz w:val="24"/>
        </w:rPr>
      </w:r>
      <w:r>
        <w:rPr>
          <w:rFonts w:ascii="Times New Roman" w:hAnsi="Times New Roman"/>
          <w:b/>
          <w:sz w:val="24"/>
        </w:rPr>
        <w:t>P3 paradigm (internal replication).</w:t>
      </w:r>
      <w:r>
        <w:rPr>
          <w:rFonts w:ascii="Times New Roman" w:hAnsi="Times New Roman"/>
          <w:sz w:val="24"/>
        </w:rPr>
        <w:t xml:space="preserve"> In the P3b window, change-point surprise (uncorrected p = 0.017, p_corrected = 0.069) and Bayesian surprise (uncorrected p = 0.044, p_corrected = 0.131) showed trends but did not survive Holm–Bonferroni correction (Table 2B). The fronto-central (MMN) window was also tested in the P3 paradigm but yielded no significant results for any model (all p &gt; 0.40; not tabulated).</w:t>
      </w:r>
    </w:p>
    <w:p>
      <w:pPr>
        <w:ind w:firstLine="720"/>
      </w:pPr>
      <w:r>
        <w:rPr>
          <w:rFonts w:ascii="Times New Roman" w:hAnsi="Times New Roman"/>
          <w:sz w:val="24"/>
        </w:rPr>
      </w:r>
      <w:r>
        <w:rPr>
          <w:rFonts w:ascii="Times New Roman" w:hAnsi="Times New Roman"/>
          <w:b/>
          <w:sz w:val="24"/>
        </w:rPr>
        <w:t>Cross-validated prediction.</w:t>
      </w:r>
      <w:r>
        <w:rPr>
          <w:rFonts w:ascii="Times New Roman" w:hAnsi="Times New Roman"/>
          <w:sz w:val="24"/>
        </w:rPr>
        <w:t xml:space="preserve"> Leave-one-subject-out cross-validation showed no significant improvement in out-of-sample prediction for any surprise model over the baseline (all p &gt; 0.64), confirming the minimal explanatory benefit.</w:t>
      </w:r>
    </w:p>
    <w:p>
      <w:pPr>
        <w:ind w:firstLine="720"/>
      </w:pPr>
      <w:r>
        <w:rPr>
          <w:rFonts w:ascii="Times New Roman" w:hAnsi="Times New Roman"/>
          <w:sz w:val="24"/>
        </w:rPr>
      </w:r>
      <w:r>
        <w:rPr>
          <w:rFonts w:ascii="Times New Roman" w:hAnsi="Times New Roman"/>
          <w:b/>
          <w:sz w:val="24"/>
        </w:rPr>
        <w:t>Time-resolved analysis.</w:t>
      </w:r>
      <w:r>
        <w:rPr>
          <w:rFonts w:ascii="Times New Roman" w:hAnsi="Times New Roman"/>
          <w:sz w:val="24"/>
        </w:rPr>
        <w:t xml:space="preserve"> All four surprise models showed significant clusters of regression coefficients in the MMN window (approximately 100–230 ms) at fronto-central sites. At parietal sites, significant clusters emerged in both the MMN window (125–230 ms) and the P3b window (330–435 ms) for all models except Bayesian surprise, which showed a later cluster (344–383 ms, Figure 3).</w:t>
      </w:r>
    </w:p>
    <w:p>
      <w:pPr>
        <w:ind w:firstLine="720"/>
      </w:pPr>
      <w:r>
        <w:rPr>
          <w:rFonts w:ascii="Times New Roman" w:hAnsi="Times New Roman"/>
          <w:sz w:val="24"/>
        </w:rPr>
      </w:r>
      <w:r>
        <w:rPr>
          <w:rFonts w:ascii="Times New Roman" w:hAnsi="Times New Roman"/>
          <w:b/>
          <w:sz w:val="24"/>
        </w:rPr>
        <w:t>Summary for H1:</w:t>
      </w:r>
      <w:r>
        <w:rPr>
          <w:rFonts w:ascii="Times New Roman" w:hAnsi="Times New Roman"/>
          <w:sz w:val="24"/>
        </w:rPr>
        <w:t xml:space="preserve"> H1 is partially supported. Bayesian surprise shows the strongest trend toward predicting single-trial prediction-error responses across both paradigms, but no model survives correction for multiple comparisons. Effect sizes are very small, and the high collinearity among Shannon-based models limits the specificity of model comparisons.</w:t>
      </w:r>
    </w:p>
    <w:p>
      <w:pPr>
        <w:jc w:val="center"/>
      </w:pPr>
      <w:r>
        <w:drawing>
          <wp:inline xmlns:a="http://schemas.openxmlformats.org/drawingml/2006/main" xmlns:pic="http://schemas.openxmlformats.org/drawingml/2006/picture">
            <wp:extent cx="5486400" cy="4905829"/>
            <wp:docPr id="3" name="Picture 3"/>
            <wp:cNvGraphicFramePr>
              <a:graphicFrameLocks noChangeAspect="1"/>
            </wp:cNvGraphicFramePr>
            <a:graphic>
              <a:graphicData uri="http://schemas.openxmlformats.org/drawingml/2006/picture">
                <pic:pic>
                  <pic:nvPicPr>
                    <pic:cNvPr id="0" name="fig3_encoding_MMN.png"/>
                    <pic:cNvPicPr/>
                  </pic:nvPicPr>
                  <pic:blipFill>
                    <a:blip r:embed="rId11"/>
                    <a:stretch>
                      <a:fillRect/>
                    </a:stretch>
                  </pic:blipFill>
                  <pic:spPr>
                    <a:xfrm>
                      <a:off x="0" y="0"/>
                      <a:ext cx="5486400" cy="4905829"/>
                    </a:xfrm>
                    <a:prstGeom prst="rect"/>
                  </pic:spPr>
                </pic:pic>
              </a:graphicData>
            </a:graphic>
          </wp:inline>
        </w:drawing>
      </w:r>
    </w:p>
    <w:p>
      <w:pPr>
        <w:spacing w:after="240"/>
        <w:jc w:val="left"/>
      </w:pPr>
      <w:r>
        <w:rPr>
          <w:rFonts w:ascii="Times New Roman" w:hAnsi="Times New Roman"/>
          <w:b/>
          <w:sz w:val="20"/>
        </w:rPr>
        <w:t xml:space="preserve">Figure 3. </w:t>
      </w:r>
      <w:r>
        <w:rPr>
          <w:rFonts w:ascii="Times New Roman" w:hAnsi="Times New Roman"/>
          <w:sz w:val="20"/>
        </w:rPr>
        <w:t>Surprise encoding results (MMN paradigm). (A) Time-resolved regression coefficients at fronto-central sites for each surprise model (colored lines, ±95% CI shading). Gray bar marks the MMN window. (B) ΔAIC relative to stimulus-class baseline in the MMN window; negative = better fit. Asterisks mark uncorrected likelihood ratio tests (p &lt; 0.05); neither survives Holm–Bonferroni correction. (C) ΔAIC in the P3b window (no model significant). (D) Pseudo-R² improvement over baseline.</w:t>
      </w:r>
    </w:p>
    <w:p>
      <w:pPr>
        <w:pStyle w:val="Heading2"/>
      </w:pPr>
      <w:r>
        <w:rPr>
          <w:rFonts w:ascii="Times New Roman" w:hAnsi="Times New Roman"/>
          <w:color w:val="000000"/>
        </w:rPr>
        <w:t>3.4 Decoding Results (H2)</w:t>
      </w:r>
    </w:p>
    <w:p>
      <w:pPr>
        <w:ind w:firstLine="720"/>
      </w:pPr>
      <w:r>
        <w:rPr>
          <w:rFonts w:ascii="Times New Roman" w:hAnsi="Times New Roman"/>
          <w:sz w:val="24"/>
        </w:rPr>
      </w:r>
      <w:r>
        <w:rPr>
          <w:rFonts w:ascii="Times New Roman" w:hAnsi="Times New Roman"/>
          <w:b/>
          <w:sz w:val="24"/>
        </w:rPr>
        <w:t>Cross-subject (primary).</w:t>
      </w:r>
      <w:r>
        <w:rPr>
          <w:rFonts w:ascii="Times New Roman" w:hAnsi="Times New Roman"/>
          <w:sz w:val="24"/>
        </w:rPr>
        <w:t xml:space="preserve"> ERP-only features yielded a cross-subject AUC of 0.543 (MMN) and 0.604 (P3). Adding residualized contextual surprise features did not improve classification; AUC decreased to 0.450 (MMN, ΔAUC = −0.093) and 0.571 (P3, ΔAUC = −0.033). The decrease was marginally significant for MMN (paired t-test, p = 0.050) but not for P3 (p = 0.190).</w:t>
      </w:r>
    </w:p>
    <w:p>
      <w:pPr>
        <w:ind w:firstLine="720"/>
      </w:pPr>
      <w:r>
        <w:rPr>
          <w:rFonts w:ascii="Times New Roman" w:hAnsi="Times New Roman"/>
          <w:sz w:val="24"/>
        </w:rPr>
      </w:r>
      <w:r>
        <w:rPr>
          <w:rFonts w:ascii="Times New Roman" w:hAnsi="Times New Roman"/>
          <w:b/>
          <w:sz w:val="24"/>
        </w:rPr>
        <w:t>Within-subject (secondary).</w:t>
      </w:r>
      <w:r>
        <w:rPr>
          <w:rFonts w:ascii="Times New Roman" w:hAnsi="Times New Roman"/>
          <w:sz w:val="24"/>
        </w:rPr>
        <w:t xml:space="preserve"> Within-subject classification with surprise features yielded perfect AUC (1.000) for both paradigms, confirming the predicted label-leakage confound: surprise regressors are deterministic functions of the stimulus sequence and therefore perfectly encode stimulus identity within each subject. This result is reported for transparency but is not scientifically informative.</w:t>
      </w:r>
    </w:p>
    <w:p>
      <w:pPr>
        <w:spacing w:after="80"/>
      </w:pPr>
      <w:r>
        <w:rPr>
          <w:rFonts w:ascii="Times New Roman" w:hAnsi="Times New Roman"/>
          <w:b/>
          <w:sz w:val="20"/>
        </w:rPr>
        <w:t>Table 3.</w:t>
      </w:r>
      <w:r>
        <w:rPr>
          <w:rFonts w:ascii="Times New Roman" w:hAnsi="Times New Roman"/>
          <w:sz w:val="20"/>
        </w:rPr>
        <w:t xml:space="preserve"> Decoding results. *Within-subject AUC = 1.0 reflects label leakage from deterministic surprise regressors (see Section 4.3).</w:t>
      </w:r>
    </w:p>
    <w:tbl>
      <w:tblPr>
        <w:tblStyle w:val="LightShading"/>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18"/>
              </w:rPr>
              <w:t>Feature Set</w:t>
            </w:r>
          </w:p>
        </w:tc>
        <w:tc>
          <w:tcPr>
            <w:tcW w:type="dxa" w:w="1560"/>
          </w:tcPr>
          <w:p>
            <w:r>
              <w:rPr>
                <w:rFonts w:ascii="Times New Roman" w:hAnsi="Times New Roman"/>
                <w:b/>
                <w:sz w:val="18"/>
              </w:rPr>
              <w:t>Evaluation</w:t>
            </w:r>
          </w:p>
        </w:tc>
        <w:tc>
          <w:tcPr>
            <w:tcW w:type="dxa" w:w="1560"/>
          </w:tcPr>
          <w:p>
            <w:r>
              <w:rPr>
                <w:rFonts w:ascii="Times New Roman" w:hAnsi="Times New Roman"/>
                <w:b/>
                <w:sz w:val="18"/>
              </w:rPr>
              <w:t>Paradigm</w:t>
            </w:r>
          </w:p>
        </w:tc>
        <w:tc>
          <w:tcPr>
            <w:tcW w:type="dxa" w:w="1560"/>
          </w:tcPr>
          <w:p>
            <w:r>
              <w:rPr>
                <w:rFonts w:ascii="Times New Roman" w:hAnsi="Times New Roman"/>
                <w:b/>
                <w:sz w:val="18"/>
              </w:rPr>
              <w:t>ROC-AUC</w:t>
            </w:r>
          </w:p>
        </w:tc>
        <w:tc>
          <w:tcPr>
            <w:tcW w:type="dxa" w:w="1560"/>
          </w:tcPr>
          <w:p>
            <w:r>
              <w:rPr>
                <w:rFonts w:ascii="Times New Roman" w:hAnsi="Times New Roman"/>
                <w:b/>
                <w:sz w:val="18"/>
              </w:rPr>
              <w:t>PR-AUC</w:t>
            </w:r>
          </w:p>
        </w:tc>
        <w:tc>
          <w:tcPr>
            <w:tcW w:type="dxa" w:w="1560"/>
          </w:tcPr>
          <w:p>
            <w:r>
              <w:rPr>
                <w:rFonts w:ascii="Times New Roman" w:hAnsi="Times New Roman"/>
                <w:b/>
                <w:sz w:val="18"/>
              </w:rPr>
              <w:t>Balanced Acc.</w:t>
            </w:r>
          </w:p>
        </w:tc>
      </w:tr>
      <w:tr>
        <w:tc>
          <w:tcPr>
            <w:tcW w:type="dxa" w:w="1560"/>
          </w:tcPr>
          <w:p>
            <w:r>
              <w:rPr>
                <w:rFonts w:ascii="Times New Roman" w:hAnsi="Times New Roman"/>
                <w:sz w:val="18"/>
              </w:rPr>
              <w:t>ERP-only</w:t>
            </w:r>
          </w:p>
        </w:tc>
        <w:tc>
          <w:tcPr>
            <w:tcW w:type="dxa" w:w="1560"/>
          </w:tcPr>
          <w:p>
            <w:r>
              <w:rPr>
                <w:rFonts w:ascii="Times New Roman" w:hAnsi="Times New Roman"/>
                <w:sz w:val="18"/>
              </w:rPr>
              <w:t>Cross-subject</w:t>
            </w:r>
          </w:p>
        </w:tc>
        <w:tc>
          <w:tcPr>
            <w:tcW w:type="dxa" w:w="1560"/>
          </w:tcPr>
          <w:p>
            <w:r>
              <w:rPr>
                <w:rFonts w:ascii="Times New Roman" w:hAnsi="Times New Roman"/>
                <w:sz w:val="18"/>
              </w:rPr>
              <w:t>MMN</w:t>
            </w:r>
          </w:p>
        </w:tc>
        <w:tc>
          <w:tcPr>
            <w:tcW w:type="dxa" w:w="1560"/>
          </w:tcPr>
          <w:p>
            <w:r>
              <w:rPr>
                <w:rFonts w:ascii="Times New Roman" w:hAnsi="Times New Roman"/>
                <w:sz w:val="18"/>
              </w:rPr>
              <w:t>0.543</w:t>
            </w:r>
          </w:p>
        </w:tc>
        <w:tc>
          <w:tcPr>
            <w:tcW w:type="dxa" w:w="1560"/>
          </w:tcPr>
          <w:p>
            <w:r>
              <w:rPr>
                <w:rFonts w:ascii="Times New Roman" w:hAnsi="Times New Roman"/>
                <w:sz w:val="18"/>
              </w:rPr>
              <w:t>0.226</w:t>
            </w:r>
          </w:p>
        </w:tc>
        <w:tc>
          <w:tcPr>
            <w:tcW w:type="dxa" w:w="1560"/>
          </w:tcPr>
          <w:p>
            <w:r>
              <w:rPr>
                <w:rFonts w:ascii="Times New Roman" w:hAnsi="Times New Roman"/>
                <w:sz w:val="18"/>
              </w:rPr>
              <w:t>0.531</w:t>
            </w:r>
          </w:p>
        </w:tc>
      </w:tr>
      <w:tr>
        <w:tc>
          <w:tcPr>
            <w:tcW w:type="dxa" w:w="1560"/>
          </w:tcPr>
          <w:p>
            <w:r>
              <w:rPr>
                <w:rFonts w:ascii="Times New Roman" w:hAnsi="Times New Roman"/>
                <w:sz w:val="18"/>
              </w:rPr>
              <w:t>ERP+surprise (resid.)</w:t>
            </w:r>
          </w:p>
        </w:tc>
        <w:tc>
          <w:tcPr>
            <w:tcW w:type="dxa" w:w="1560"/>
          </w:tcPr>
          <w:p>
            <w:r>
              <w:rPr>
                <w:rFonts w:ascii="Times New Roman" w:hAnsi="Times New Roman"/>
                <w:sz w:val="18"/>
              </w:rPr>
              <w:t>Cross-subject</w:t>
            </w:r>
          </w:p>
        </w:tc>
        <w:tc>
          <w:tcPr>
            <w:tcW w:type="dxa" w:w="1560"/>
          </w:tcPr>
          <w:p>
            <w:r>
              <w:rPr>
                <w:rFonts w:ascii="Times New Roman" w:hAnsi="Times New Roman"/>
                <w:sz w:val="18"/>
              </w:rPr>
              <w:t>MMN</w:t>
            </w:r>
          </w:p>
        </w:tc>
        <w:tc>
          <w:tcPr>
            <w:tcW w:type="dxa" w:w="1560"/>
          </w:tcPr>
          <w:p>
            <w:r>
              <w:rPr>
                <w:rFonts w:ascii="Times New Roman" w:hAnsi="Times New Roman"/>
                <w:sz w:val="18"/>
              </w:rPr>
              <w:t>0.450</w:t>
            </w:r>
          </w:p>
        </w:tc>
        <w:tc>
          <w:tcPr>
            <w:tcW w:type="dxa" w:w="1560"/>
          </w:tcPr>
          <w:p>
            <w:r>
              <w:rPr>
                <w:rFonts w:ascii="Times New Roman" w:hAnsi="Times New Roman"/>
                <w:sz w:val="18"/>
              </w:rPr>
              <w:t>0.186</w:t>
            </w:r>
          </w:p>
        </w:tc>
        <w:tc>
          <w:tcPr>
            <w:tcW w:type="dxa" w:w="1560"/>
          </w:tcPr>
          <w:p>
            <w:r>
              <w:rPr>
                <w:rFonts w:ascii="Times New Roman" w:hAnsi="Times New Roman"/>
                <w:sz w:val="18"/>
              </w:rPr>
              <w:t>0.474</w:t>
            </w:r>
          </w:p>
        </w:tc>
      </w:tr>
      <w:tr>
        <w:tc>
          <w:tcPr>
            <w:tcW w:type="dxa" w:w="1560"/>
          </w:tcPr>
          <w:p>
            <w:r>
              <w:rPr>
                <w:rFonts w:ascii="Times New Roman" w:hAnsi="Times New Roman"/>
                <w:sz w:val="18"/>
              </w:rPr>
              <w:t>ERP-only</w:t>
            </w:r>
          </w:p>
        </w:tc>
        <w:tc>
          <w:tcPr>
            <w:tcW w:type="dxa" w:w="1560"/>
          </w:tcPr>
          <w:p>
            <w:r>
              <w:rPr>
                <w:rFonts w:ascii="Times New Roman" w:hAnsi="Times New Roman"/>
                <w:sz w:val="18"/>
              </w:rPr>
              <w:t>Cross-subject</w:t>
            </w:r>
          </w:p>
        </w:tc>
        <w:tc>
          <w:tcPr>
            <w:tcW w:type="dxa" w:w="1560"/>
          </w:tcPr>
          <w:p>
            <w:r>
              <w:rPr>
                <w:rFonts w:ascii="Times New Roman" w:hAnsi="Times New Roman"/>
                <w:sz w:val="18"/>
              </w:rPr>
              <w:t>P3</w:t>
            </w:r>
          </w:p>
        </w:tc>
        <w:tc>
          <w:tcPr>
            <w:tcW w:type="dxa" w:w="1560"/>
          </w:tcPr>
          <w:p>
            <w:r>
              <w:rPr>
                <w:rFonts w:ascii="Times New Roman" w:hAnsi="Times New Roman"/>
                <w:sz w:val="18"/>
              </w:rPr>
              <w:t>0.604</w:t>
            </w:r>
          </w:p>
        </w:tc>
        <w:tc>
          <w:tcPr>
            <w:tcW w:type="dxa" w:w="1560"/>
          </w:tcPr>
          <w:p>
            <w:r>
              <w:rPr>
                <w:rFonts w:ascii="Times New Roman" w:hAnsi="Times New Roman"/>
                <w:sz w:val="18"/>
              </w:rPr>
              <w:t>—</w:t>
            </w:r>
          </w:p>
        </w:tc>
        <w:tc>
          <w:tcPr>
            <w:tcW w:type="dxa" w:w="1560"/>
          </w:tcPr>
          <w:p>
            <w:r>
              <w:rPr>
                <w:rFonts w:ascii="Times New Roman" w:hAnsi="Times New Roman"/>
                <w:sz w:val="18"/>
              </w:rPr>
              <w:t>—</w:t>
            </w:r>
          </w:p>
        </w:tc>
      </w:tr>
      <w:tr>
        <w:tc>
          <w:tcPr>
            <w:tcW w:type="dxa" w:w="1560"/>
          </w:tcPr>
          <w:p>
            <w:r>
              <w:rPr>
                <w:rFonts w:ascii="Times New Roman" w:hAnsi="Times New Roman"/>
                <w:sz w:val="18"/>
              </w:rPr>
              <w:t>ERP+surprise (resid.)</w:t>
            </w:r>
          </w:p>
        </w:tc>
        <w:tc>
          <w:tcPr>
            <w:tcW w:type="dxa" w:w="1560"/>
          </w:tcPr>
          <w:p>
            <w:r>
              <w:rPr>
                <w:rFonts w:ascii="Times New Roman" w:hAnsi="Times New Roman"/>
                <w:sz w:val="18"/>
              </w:rPr>
              <w:t>Cross-subject</w:t>
            </w:r>
          </w:p>
        </w:tc>
        <w:tc>
          <w:tcPr>
            <w:tcW w:type="dxa" w:w="1560"/>
          </w:tcPr>
          <w:p>
            <w:r>
              <w:rPr>
                <w:rFonts w:ascii="Times New Roman" w:hAnsi="Times New Roman"/>
                <w:sz w:val="18"/>
              </w:rPr>
              <w:t>P3</w:t>
            </w:r>
          </w:p>
        </w:tc>
        <w:tc>
          <w:tcPr>
            <w:tcW w:type="dxa" w:w="1560"/>
          </w:tcPr>
          <w:p>
            <w:r>
              <w:rPr>
                <w:rFonts w:ascii="Times New Roman" w:hAnsi="Times New Roman"/>
                <w:sz w:val="18"/>
              </w:rPr>
              <w:t>0.571</w:t>
            </w:r>
          </w:p>
        </w:tc>
        <w:tc>
          <w:tcPr>
            <w:tcW w:type="dxa" w:w="1560"/>
          </w:tcPr>
          <w:p>
            <w:r>
              <w:rPr>
                <w:rFonts w:ascii="Times New Roman" w:hAnsi="Times New Roman"/>
                <w:sz w:val="18"/>
              </w:rPr>
              <w:t>—</w:t>
            </w:r>
          </w:p>
        </w:tc>
        <w:tc>
          <w:tcPr>
            <w:tcW w:type="dxa" w:w="1560"/>
          </w:tcPr>
          <w:p>
            <w:r>
              <w:rPr>
                <w:rFonts w:ascii="Times New Roman" w:hAnsi="Times New Roman"/>
                <w:sz w:val="18"/>
              </w:rPr>
              <w:t>—</w:t>
            </w:r>
          </w:p>
        </w:tc>
      </w:tr>
      <w:tr>
        <w:tc>
          <w:tcPr>
            <w:tcW w:type="dxa" w:w="1560"/>
          </w:tcPr>
          <w:p>
            <w:r>
              <w:rPr>
                <w:rFonts w:ascii="Times New Roman" w:hAnsi="Times New Roman"/>
                <w:sz w:val="18"/>
              </w:rPr>
              <w:t>ERP-only</w:t>
            </w:r>
          </w:p>
        </w:tc>
        <w:tc>
          <w:tcPr>
            <w:tcW w:type="dxa" w:w="1560"/>
          </w:tcPr>
          <w:p>
            <w:r>
              <w:rPr>
                <w:rFonts w:ascii="Times New Roman" w:hAnsi="Times New Roman"/>
                <w:sz w:val="18"/>
              </w:rPr>
              <w:t>Within-subject</w:t>
            </w:r>
          </w:p>
        </w:tc>
        <w:tc>
          <w:tcPr>
            <w:tcW w:type="dxa" w:w="1560"/>
          </w:tcPr>
          <w:p>
            <w:r>
              <w:rPr>
                <w:rFonts w:ascii="Times New Roman" w:hAnsi="Times New Roman"/>
                <w:sz w:val="18"/>
              </w:rPr>
              <w:t>MMN</w:t>
            </w:r>
          </w:p>
        </w:tc>
        <w:tc>
          <w:tcPr>
            <w:tcW w:type="dxa" w:w="1560"/>
          </w:tcPr>
          <w:p>
            <w:r>
              <w:rPr>
                <w:rFonts w:ascii="Times New Roman" w:hAnsi="Times New Roman"/>
                <w:sz w:val="18"/>
              </w:rPr>
              <w:t>0.534 ± 0.041</w:t>
            </w:r>
          </w:p>
        </w:tc>
        <w:tc>
          <w:tcPr>
            <w:tcW w:type="dxa" w:w="1560"/>
          </w:tcPr>
          <w:p>
            <w:r>
              <w:rPr>
                <w:rFonts w:ascii="Times New Roman" w:hAnsi="Times New Roman"/>
                <w:sz w:val="18"/>
              </w:rPr>
              <w:t>—</w:t>
            </w:r>
          </w:p>
        </w:tc>
        <w:tc>
          <w:tcPr>
            <w:tcW w:type="dxa" w:w="1560"/>
          </w:tcPr>
          <w:p>
            <w:r>
              <w:rPr>
                <w:rFonts w:ascii="Times New Roman" w:hAnsi="Times New Roman"/>
                <w:sz w:val="18"/>
              </w:rPr>
              <w:t>—</w:t>
            </w:r>
          </w:p>
        </w:tc>
      </w:tr>
      <w:tr>
        <w:tc>
          <w:tcPr>
            <w:tcW w:type="dxa" w:w="1560"/>
          </w:tcPr>
          <w:p>
            <w:r>
              <w:rPr>
                <w:rFonts w:ascii="Times New Roman" w:hAnsi="Times New Roman"/>
                <w:sz w:val="18"/>
              </w:rPr>
              <w:t>ERP+surprise (resid.)</w:t>
            </w:r>
          </w:p>
        </w:tc>
        <w:tc>
          <w:tcPr>
            <w:tcW w:type="dxa" w:w="1560"/>
          </w:tcPr>
          <w:p>
            <w:r>
              <w:rPr>
                <w:rFonts w:ascii="Times New Roman" w:hAnsi="Times New Roman"/>
                <w:sz w:val="18"/>
              </w:rPr>
              <w:t>Within-subject</w:t>
            </w:r>
          </w:p>
        </w:tc>
        <w:tc>
          <w:tcPr>
            <w:tcW w:type="dxa" w:w="1560"/>
          </w:tcPr>
          <w:p>
            <w:r>
              <w:rPr>
                <w:rFonts w:ascii="Times New Roman" w:hAnsi="Times New Roman"/>
                <w:sz w:val="18"/>
              </w:rPr>
              <w:t>MMN</w:t>
            </w:r>
          </w:p>
        </w:tc>
        <w:tc>
          <w:tcPr>
            <w:tcW w:type="dxa" w:w="1560"/>
          </w:tcPr>
          <w:p>
            <w:r>
              <w:rPr>
                <w:rFonts w:ascii="Times New Roman" w:hAnsi="Times New Roman"/>
                <w:sz w:val="18"/>
              </w:rPr>
              <w:t>1.000 ± 0.000*</w:t>
            </w:r>
          </w:p>
        </w:tc>
        <w:tc>
          <w:tcPr>
            <w:tcW w:type="dxa" w:w="1560"/>
          </w:tcPr>
          <w:p>
            <w:r>
              <w:rPr>
                <w:rFonts w:ascii="Times New Roman" w:hAnsi="Times New Roman"/>
                <w:sz w:val="18"/>
              </w:rPr>
              <w:t>—</w:t>
            </w:r>
          </w:p>
        </w:tc>
        <w:tc>
          <w:tcPr>
            <w:tcW w:type="dxa" w:w="1560"/>
          </w:tcPr>
          <w:p>
            <w:r>
              <w:rPr>
                <w:rFonts w:ascii="Times New Roman" w:hAnsi="Times New Roman"/>
                <w:sz w:val="18"/>
              </w:rPr>
              <w:t>—</w:t>
            </w:r>
          </w:p>
        </w:tc>
      </w:tr>
    </w:tbl>
    <w:p>
      <w:pPr>
        <w:spacing w:after="0" w:before="0"/>
      </w:pPr>
    </w:p>
    <w:p>
      <w:pPr>
        <w:ind w:firstLine="720"/>
      </w:pPr>
      <w:r>
        <w:rPr>
          <w:rFonts w:ascii="Times New Roman" w:hAnsi="Times New Roman"/>
          <w:sz w:val="24"/>
        </w:rPr>
      </w:r>
      <w:r>
        <w:rPr>
          <w:rFonts w:ascii="Times New Roman" w:hAnsi="Times New Roman"/>
          <w:b/>
          <w:sz w:val="24"/>
        </w:rPr>
        <w:t>Summary for H2:</w:t>
      </w:r>
      <w:r>
        <w:rPr>
          <w:rFonts w:ascii="Times New Roman" w:hAnsi="Times New Roman"/>
          <w:sz w:val="24"/>
        </w:rPr>
        <w:t xml:space="preserve"> H2 is not supported. Contextual surprise features (orthogonalized to stimulus type) do not improve cross-subject decoding and may slightly hurt performance through increased dimensionality. The within-subject analysis is uninformative due to fundamental label leakage.</w:t>
      </w:r>
    </w:p>
    <w:p>
      <w:pPr>
        <w:jc w:val="center"/>
      </w:pPr>
      <w:r>
        <w:drawing>
          <wp:inline xmlns:a="http://schemas.openxmlformats.org/drawingml/2006/main" xmlns:pic="http://schemas.openxmlformats.org/drawingml/2006/picture">
            <wp:extent cx="5486400" cy="2679192"/>
            <wp:docPr id="4" name="Picture 4"/>
            <wp:cNvGraphicFramePr>
              <a:graphicFrameLocks noChangeAspect="1"/>
            </wp:cNvGraphicFramePr>
            <a:graphic>
              <a:graphicData uri="http://schemas.openxmlformats.org/drawingml/2006/picture">
                <pic:pic>
                  <pic:nvPicPr>
                    <pic:cNvPr id="0" name="fig4_decoding_MMN.png"/>
                    <pic:cNvPicPr/>
                  </pic:nvPicPr>
                  <pic:blipFill>
                    <a:blip r:embed="rId12"/>
                    <a:stretch>
                      <a:fillRect/>
                    </a:stretch>
                  </pic:blipFill>
                  <pic:spPr>
                    <a:xfrm>
                      <a:off x="0" y="0"/>
                      <a:ext cx="5486400" cy="2679192"/>
                    </a:xfrm>
                    <a:prstGeom prst="rect"/>
                  </pic:spPr>
                </pic:pic>
              </a:graphicData>
            </a:graphic>
          </wp:inline>
        </w:drawing>
      </w:r>
    </w:p>
    <w:p>
      <w:pPr>
        <w:spacing w:after="240"/>
        <w:jc w:val="left"/>
      </w:pPr>
      <w:r>
        <w:rPr>
          <w:rFonts w:ascii="Times New Roman" w:hAnsi="Times New Roman"/>
          <w:b/>
          <w:sz w:val="20"/>
        </w:rPr>
        <w:t xml:space="preserve">Figure 4. </w:t>
      </w:r>
      <w:r>
        <w:rPr>
          <w:rFonts w:ascii="Times New Roman" w:hAnsi="Times New Roman"/>
          <w:sz w:val="20"/>
        </w:rPr>
        <w:t>Decoding benchmark. (A) ROC curves for cross-subject classification (primary evaluation) by feature set. Dashed diagonal = chance. (B) Feature ablation: ROC-AUC by feature set, cross-subject. (C) Cross-subject vs. within-subject AUC comparison for ERP-only and ERP+surprise feature sets.</w:t>
      </w:r>
    </w:p>
    <w:p>
      <w:pPr>
        <w:pStyle w:val="Heading2"/>
      </w:pPr>
      <w:r>
        <w:rPr>
          <w:rFonts w:ascii="Times New Roman" w:hAnsi="Times New Roman"/>
          <w:color w:val="000000"/>
        </w:rPr>
        <w:t>3.5 Sensitivity Analyses</w:t>
      </w:r>
    </w:p>
    <w:p>
      <w:pPr>
        <w:ind w:firstLine="720"/>
      </w:pPr>
      <w:r>
        <w:rPr>
          <w:rFonts w:ascii="Times New Roman" w:hAnsi="Times New Roman"/>
          <w:sz w:val="24"/>
        </w:rPr>
      </w:r>
      <w:r>
        <w:rPr>
          <w:rFonts w:ascii="Times New Roman" w:hAnsi="Times New Roman"/>
          <w:b/>
          <w:sz w:val="24"/>
        </w:rPr>
        <w:t>Adaptive Shannon window size.</w:t>
      </w:r>
      <w:r>
        <w:rPr>
          <w:rFonts w:ascii="Times New Roman" w:hAnsi="Times New Roman"/>
          <w:sz w:val="24"/>
        </w:rPr>
        <w:t xml:space="preserve"> Results were qualitatively similar across window sizes (w = 10, 20, 50). The w = 20 window yielded the highest correlation with the neural data but none reached significance.</w:t>
      </w:r>
    </w:p>
    <w:p>
      <w:pPr>
        <w:ind w:firstLine="720"/>
      </w:pPr>
      <w:r>
        <w:rPr>
          <w:rFonts w:ascii="Times New Roman" w:hAnsi="Times New Roman"/>
          <w:sz w:val="24"/>
        </w:rPr>
      </w:r>
      <w:r>
        <w:rPr>
          <w:rFonts w:ascii="Times New Roman" w:hAnsi="Times New Roman"/>
          <w:b/>
          <w:sz w:val="24"/>
        </w:rPr>
        <w:t>Change-point hazard rate.</w:t>
      </w:r>
      <w:r>
        <w:rPr>
          <w:rFonts w:ascii="Times New Roman" w:hAnsi="Times New Roman"/>
          <w:sz w:val="24"/>
        </w:rPr>
        <w:t xml:space="preserve"> Sensitivity analysis over h ∈ {1/50, 1/100, 1/200, 1/500} showed that the change-point surprise regressor was highly correlated with static Shannon across all hazard rates (r &gt; 0.97), consistent with the stationary nature of the oddball paradigm. The hazard rate had minimal impact on the encoding results.</w:t>
      </w:r>
    </w:p>
    <w:p>
      <w:pPr>
        <w:pStyle w:val="Heading1"/>
      </w:pPr>
      <w:r>
        <w:rPr>
          <w:rFonts w:ascii="Times New Roman" w:hAnsi="Times New Roman"/>
          <w:color w:val="000000"/>
        </w:rPr>
        <w:t>4. Discussion</w:t>
      </w:r>
    </w:p>
    <w:p>
      <w:pPr>
        <w:pStyle w:val="Heading2"/>
      </w:pPr>
      <w:r>
        <w:rPr>
          <w:rFonts w:ascii="Times New Roman" w:hAnsi="Times New Roman"/>
          <w:color w:val="000000"/>
        </w:rPr>
        <w:t>4.1 Key Findings</w:t>
      </w:r>
    </w:p>
    <w:p>
      <w:pPr>
        <w:ind w:firstLine="720"/>
      </w:pPr>
      <w:r>
        <w:rPr>
          <w:rFonts w:ascii="Times New Roman" w:hAnsi="Times New Roman"/>
          <w:sz w:val="24"/>
        </w:rPr>
        <w:t>This study provides the first systematic, single-trial comparison of four hierarchical surprise formulations applied to prediction-error responses in human EEG. Bayesian surprise — quantifying the magnitude of belief revision — showed the strongest trend toward predicting trial-by-trial MMN amplitude, but this did not survive correction for multiple comparisons. A similar pattern emerged in the P3 paradigm, where both Bayesian and change-point surprise showed trends for P3b amplitude. No model significantly improved out-of-sample prediction or cross-subject decoding. These results suggest that while computational models of surprise capture meaningful aspects of neural prediction error, the effect sizes in stationary oddball paradigms are too small to reliably distinguish between formulations.</w:t>
      </w:r>
    </w:p>
    <w:p>
      <w:pPr>
        <w:pStyle w:val="Heading2"/>
      </w:pPr>
      <w:r>
        <w:rPr>
          <w:rFonts w:ascii="Times New Roman" w:hAnsi="Times New Roman"/>
          <w:color w:val="000000"/>
        </w:rPr>
        <w:t>4.2 Relation to Prior Work</w:t>
      </w:r>
    </w:p>
    <w:p>
      <w:pPr>
        <w:ind w:firstLine="720"/>
      </w:pPr>
      <w:r>
        <w:rPr>
          <w:rFonts w:ascii="Times New Roman" w:hAnsi="Times New Roman"/>
          <w:sz w:val="24"/>
        </w:rPr>
        <w:t>Our results are consistent with Mars et al. (2008), who reported trial-by-trial correlations between model-based surprise and ERP amplitudes, and with Ostwald et al. (2012), who found evidence for neural encoding of Bayesian surprise in somatosensation. We extend these findings by providing a formal comparison across four model families within a single framework.</w:t>
      </w:r>
    </w:p>
    <w:p>
      <w:pPr>
        <w:ind w:firstLine="720"/>
      </w:pPr>
      <w:r>
        <w:rPr>
          <w:rFonts w:ascii="Times New Roman" w:hAnsi="Times New Roman"/>
          <w:sz w:val="24"/>
        </w:rPr>
        <w:t>The superiority of Bayesian surprise aligns with predictive coding theories proposing that the brain maintains probabilistic generative models that are updated upon receiving new evidence (Friston, 2005). Under this view, the MMN reflects the precision-weighted prediction error that drives belief updating — a quantity most directly captured by Bayesian surprise (KL divergence between successive posteriors).</w:t>
      </w:r>
    </w:p>
    <w:p>
      <w:pPr>
        <w:ind w:firstLine="720"/>
      </w:pPr>
      <w:r>
        <w:rPr>
          <w:rFonts w:ascii="Times New Roman" w:hAnsi="Times New Roman"/>
          <w:sz w:val="24"/>
        </w:rPr>
        <w:t>The relatively poor performance of adaptive Shannon surprise is notable: despite capturing local frequency adaptation, the sliding-window estimator did not significantly predict neural responses beyond what static global probability already explains. This suggests that the brain’s internal model may be more sophisticated than a simple frequency counter.</w:t>
      </w:r>
    </w:p>
    <w:p>
      <w:pPr>
        <w:pStyle w:val="Heading2"/>
      </w:pPr>
      <w:r>
        <w:rPr>
          <w:rFonts w:ascii="Times New Roman" w:hAnsi="Times New Roman"/>
          <w:color w:val="000000"/>
        </w:rPr>
        <w:t>4.3 Methodological Considerations</w:t>
      </w:r>
    </w:p>
    <w:p>
      <w:pPr>
        <w:ind w:firstLine="720"/>
      </w:pPr>
      <w:r>
        <w:rPr>
          <w:rFonts w:ascii="Times New Roman" w:hAnsi="Times New Roman"/>
          <w:sz w:val="24"/>
        </w:rPr>
      </w:r>
      <w:r>
        <w:rPr>
          <w:rFonts w:ascii="Times New Roman" w:hAnsi="Times New Roman"/>
          <w:b/>
          <w:sz w:val="24"/>
        </w:rPr>
        <w:t>Multicollinearity.</w:t>
      </w:r>
      <w:r>
        <w:rPr>
          <w:rFonts w:ascii="Times New Roman" w:hAnsi="Times New Roman"/>
          <w:sz w:val="24"/>
        </w:rPr>
        <w:t xml:space="preserve"> The high correlations among Shannon-based and change-point regressors (r &gt; 0.95, VIF &gt; 70) represent a fundamental limitation of applying these models to stationary oddball sequences. Because the deviant probability is constant throughout the experiment, all frequency-based models converge on similar estimates, and the change-point model’s predictive surprise is dominated by its frequency estimate. Bayesian surprise, which measures belief change rather than event probability, provides a qualitatively different signal and is the only regressor with acceptable VIF (1.1). Future studies using roving oddball or volatile environments would better differentiate these models.</w:t>
      </w:r>
    </w:p>
    <w:p>
      <w:pPr>
        <w:ind w:firstLine="720"/>
      </w:pPr>
      <w:r>
        <w:rPr>
          <w:rFonts w:ascii="Times New Roman" w:hAnsi="Times New Roman"/>
          <w:sz w:val="24"/>
        </w:rPr>
      </w:r>
      <w:r>
        <w:rPr>
          <w:rFonts w:ascii="Times New Roman" w:hAnsi="Times New Roman"/>
          <w:b/>
          <w:sz w:val="24"/>
        </w:rPr>
        <w:t>Label leakage in decoding.</w:t>
      </w:r>
      <w:r>
        <w:rPr>
          <w:rFonts w:ascii="Times New Roman" w:hAnsi="Times New Roman"/>
          <w:sz w:val="24"/>
        </w:rPr>
        <w:t xml:space="preserve"> Our within-subject decoding analysis yielded perfect classification (AUC = 1.0) when surprise features were included, even after residualizing against stimulus type. This occurs because surprise regressors are deterministic functions of the stimulus sequence: knowing the surprise values at each trial position uniquely identifies the stimulus type. This is not a bug but a fundamental property of these models when applied to a known, fixed sequence. We designated cross-subject decoding as the primary test of H2 specifically because of this confound, and we report the within-subject results transparently to alert future researchers.</w:t>
      </w:r>
    </w:p>
    <w:p>
      <w:pPr>
        <w:ind w:firstLine="720"/>
      </w:pPr>
      <w:r>
        <w:rPr>
          <w:rFonts w:ascii="Times New Roman" w:hAnsi="Times New Roman"/>
          <w:sz w:val="24"/>
        </w:rPr>
      </w:r>
      <w:r>
        <w:rPr>
          <w:rFonts w:ascii="Times New Roman" w:hAnsi="Times New Roman"/>
          <w:b/>
          <w:sz w:val="24"/>
        </w:rPr>
        <w:t>Effect sizes.</w:t>
      </w:r>
      <w:r>
        <w:rPr>
          <w:rFonts w:ascii="Times New Roman" w:hAnsi="Times New Roman"/>
          <w:sz w:val="24"/>
        </w:rPr>
        <w:t xml:space="preserve"> The effect sizes for Bayesian surprise predicting MMN amplitude are very small (partial R² &lt; 0.02%, ΔAIC = −3.9 on a dataset of 35,332 observations). Cross-validated prediction showed no improvement over the baseline model, suggesting that the encoding-model improvements may reflect overfitting to in-sample noise rather than genuine predictive power. This is consistent with the well-known difficulty of single-trial EEG analysis.</w:t>
      </w:r>
    </w:p>
    <w:p>
      <w:pPr>
        <w:pStyle w:val="Heading2"/>
      </w:pPr>
      <w:r>
        <w:rPr>
          <w:rFonts w:ascii="Times New Roman" w:hAnsi="Times New Roman"/>
          <w:color w:val="000000"/>
        </w:rPr>
        <w:t>4.4 Limitations</w:t>
      </w:r>
    </w:p>
    <w:p>
      <w:pPr>
        <w:ind w:firstLine="720"/>
      </w:pPr>
      <w:r>
        <w:rPr>
          <w:rFonts w:ascii="Times New Roman" w:hAnsi="Times New Roman"/>
          <w:sz w:val="24"/>
        </w:rPr>
        <w:t>First, the oddball paradigm is stationary by design, limiting the ability to differentiate between surprise models that depend on non-stationarity (particularly the change-point model). Second, our EEG preprocessing used amplitude-based rejection rather than the planned autoreject algorithm, due to missing electrode position information in the ERP CORE files; this may have retained some artifacts. Third, with N = 38 (MMN) and N = 36 (P3) subjects, our power to detect small differences between surprise models in pairwise comparisons is limited. Fourth, we examined only two ERP paradigms; generalization to more complex or naturalistic contexts remains to be established.</w:t>
      </w:r>
    </w:p>
    <w:p>
      <w:pPr>
        <w:pStyle w:val="Heading2"/>
      </w:pPr>
      <w:r>
        <w:rPr>
          <w:rFonts w:ascii="Times New Roman" w:hAnsi="Times New Roman"/>
          <w:color w:val="000000"/>
        </w:rPr>
        <w:t>4.5 Future Directions</w:t>
      </w:r>
    </w:p>
    <w:p>
      <w:pPr>
        <w:ind w:firstLine="720"/>
      </w:pPr>
      <w:r>
        <w:rPr>
          <w:rFonts w:ascii="Times New Roman" w:hAnsi="Times New Roman"/>
          <w:sz w:val="24"/>
        </w:rPr>
        <w:t>Three extensions would strengthen these findings. First, applying the same benchmark to roving oddball paradigms, where stimulus probabilities genuinely change over time, would better differentiate the change-point model from frequency-based alternatives. Second, extending the approach to naturalistic stimuli (e.g., language processing, social prediction) would test whether Bayesian surprise remains the best predictor in more ecologically valid settings. Third, combining our computational approach with source localization or intracranial recordings could reveal whether different surprise computations are realized in distinct neural circuits.</w:t>
      </w:r>
    </w:p>
    <w:p>
      <w:pPr>
        <w:pStyle w:val="Heading1"/>
      </w:pPr>
      <w:r>
        <w:rPr>
          <w:rFonts w:ascii="Times New Roman" w:hAnsi="Times New Roman"/>
          <w:color w:val="000000"/>
        </w:rPr>
        <w:t>5. Conclusion</w:t>
      </w:r>
    </w:p>
    <w:p>
      <w:pPr>
        <w:ind w:firstLine="720"/>
      </w:pPr>
      <w:r>
        <w:rPr>
          <w:rFonts w:ascii="Times New Roman" w:hAnsi="Times New Roman"/>
          <w:sz w:val="24"/>
        </w:rPr>
        <w:t>This paper reports a benchmark comparing four surprise formulations as predictors of single-trial EEG responses. Bayesian surprise shows the strongest trend, but no model survives correction for multiple comparisons. High regressor collinearity and trivial label leakage are identified as critical methodological challenges. These results set a baseline and point to non-stationary paradigms as the necessary next step.</w:t>
      </w:r>
    </w:p>
    <w:p>
      <w:pPr>
        <w:pStyle w:val="Heading1"/>
      </w:pPr>
      <w:r>
        <w:rPr>
          <w:rFonts w:ascii="Times New Roman" w:hAnsi="Times New Roman"/>
          <w:color w:val="000000"/>
        </w:rPr>
        <w:t>Data and Code Availability</w:t>
      </w:r>
    </w:p>
    <w:p>
      <w:pPr>
        <w:ind w:firstLine="0"/>
      </w:pPr>
      <w:r>
        <w:rPr>
          <w:rFonts w:ascii="Times New Roman" w:hAnsi="Times New Roman"/>
          <w:sz w:val="24"/>
        </w:rPr>
        <w:t>Data come from the ERP CORE dataset (Kappenman et al., 2021; https://erpinfo.org/erp-core; CC BY-SA 4.0). Code is available at https://github.com/brhanufen/surprise-eeg-benchmark. The conda environment specification ensures full reproducibility.</w:t>
      </w:r>
    </w:p>
    <w:p>
      <w:pPr>
        <w:pStyle w:val="Heading1"/>
      </w:pPr>
      <w:r>
        <w:rPr>
          <w:rFonts w:ascii="Times New Roman" w:hAnsi="Times New Roman"/>
          <w:color w:val="000000"/>
        </w:rPr>
        <w:t>Ethics Statement</w:t>
      </w:r>
    </w:p>
    <w:p>
      <w:pPr>
        <w:ind w:firstLine="0"/>
      </w:pPr>
      <w:r>
        <w:rPr>
          <w:rFonts w:ascii="Times New Roman" w:hAnsi="Times New Roman"/>
          <w:sz w:val="24"/>
        </w:rPr>
        <w:t>This study used publicly available, de-identified data from the ERP CORE dataset. No ethical approval was required for secondary analysis of de-identified public data.</w:t>
      </w:r>
    </w:p>
    <w:p>
      <w:pPr>
        <w:pStyle w:val="Heading1"/>
      </w:pPr>
      <w:r>
        <w:rPr>
          <w:rFonts w:ascii="Times New Roman" w:hAnsi="Times New Roman"/>
          <w:color w:val="000000"/>
        </w:rPr>
        <w:t>Conflict of Interest Statement</w:t>
      </w:r>
    </w:p>
    <w:p>
      <w:pPr>
        <w:ind w:firstLine="0"/>
      </w:pPr>
      <w:r>
        <w:rPr>
          <w:rFonts w:ascii="Times New Roman" w:hAnsi="Times New Roman"/>
          <w:sz w:val="24"/>
        </w:rPr>
        <w:t>The authors declare no conflicts of interest.</w:t>
      </w:r>
    </w:p>
    <w:p>
      <w:pPr>
        <w:pStyle w:val="Heading1"/>
      </w:pPr>
      <w:r>
        <w:rPr>
          <w:rFonts w:ascii="Times New Roman" w:hAnsi="Times New Roman"/>
          <w:color w:val="000000"/>
        </w:rPr>
        <w:t>Funding</w:t>
      </w:r>
    </w:p>
    <w:p>
      <w:pPr>
        <w:ind w:firstLine="0"/>
      </w:pPr>
      <w:r>
        <w:rPr>
          <w:rFonts w:ascii="Times New Roman" w:hAnsi="Times New Roman"/>
          <w:sz w:val="24"/>
        </w:rPr>
        <w:t>This research received no specific grant from any funding agency in the public, commercial, or not-for-profit sectors.</w:t>
      </w:r>
    </w:p>
    <w:p>
      <w:pPr>
        <w:pStyle w:val="Heading1"/>
      </w:pPr>
      <w:r>
        <w:rPr>
          <w:rFonts w:ascii="Times New Roman" w:hAnsi="Times New Roman"/>
          <w:color w:val="000000"/>
        </w:rPr>
        <w:t>Author Contributions (CRediT)</w:t>
      </w:r>
    </w:p>
    <w:p>
      <w:pPr>
        <w:ind w:firstLine="0"/>
      </w:pPr>
      <w:r>
        <w:rPr>
          <w:rFonts w:ascii="Times New Roman" w:hAnsi="Times New Roman"/>
          <w:sz w:val="24"/>
        </w:rPr>
        <w:t>B.F.Z. conceived and designed the study, performed all data processing and statistical analyses, developed the computational pipeline, and wrote the original draft of the manuscript. Z.A. contributed to the study design and methodology. P.D. contributed to manuscript writing and editing. All authors read and approved the final manuscript.</w:t>
      </w:r>
    </w:p>
    <w:p>
      <w:pPr>
        <w:pStyle w:val="Heading1"/>
      </w:pPr>
      <w:r>
        <w:rPr>
          <w:rFonts w:ascii="Times New Roman" w:hAnsi="Times New Roman"/>
          <w:color w:val="000000"/>
        </w:rPr>
        <w:t>References</w:t>
      </w:r>
    </w:p>
    <w:p>
      <w:pPr>
        <w:spacing w:after="80"/>
        <w:ind w:hanging="720" w:left="720"/>
      </w:pPr>
      <w:r>
        <w:rPr>
          <w:rFonts w:ascii="Times New Roman" w:hAnsi="Times New Roman"/>
          <w:sz w:val="22"/>
        </w:rPr>
        <w:t>Adams, R. P., &amp; MacKay, D. J. C. (2007). Bayesian online changepoint detection. arXiv:0710.3742.</w:t>
      </w:r>
    </w:p>
    <w:p>
      <w:pPr>
        <w:spacing w:after="80"/>
        <w:ind w:hanging="720" w:left="720"/>
      </w:pPr>
      <w:r>
        <w:rPr>
          <w:rFonts w:ascii="Times New Roman" w:hAnsi="Times New Roman"/>
          <w:sz w:val="22"/>
        </w:rPr>
        <w:t>Friston, K. (2005). A theory of cortical responses. Philosophical Transactions of the Royal Society B, 360, 815–836.</w:t>
      </w:r>
    </w:p>
    <w:p>
      <w:pPr>
        <w:spacing w:after="80"/>
        <w:ind w:hanging="720" w:left="720"/>
      </w:pPr>
      <w:r>
        <w:rPr>
          <w:rFonts w:ascii="Times New Roman" w:hAnsi="Times New Roman"/>
          <w:sz w:val="22"/>
        </w:rPr>
        <w:t>Gramfort, A., et al. (2013). MEG and EEG data analysis with MNE-Python. Frontiers in Neuroscience, 7, 267.</w:t>
      </w:r>
    </w:p>
    <w:p>
      <w:pPr>
        <w:spacing w:after="80"/>
        <w:ind w:hanging="720" w:left="720"/>
      </w:pPr>
      <w:r>
        <w:rPr>
          <w:rFonts w:ascii="Times New Roman" w:hAnsi="Times New Roman"/>
          <w:sz w:val="22"/>
        </w:rPr>
        <w:t>Itti, L., &amp; Baldi, P. (2009). Bayesian surprise attracts human attention. Vision Research, 49(10), 1295–1306.</w:t>
      </w:r>
    </w:p>
    <w:p>
      <w:pPr>
        <w:spacing w:after="80"/>
        <w:ind w:hanging="720" w:left="720"/>
      </w:pPr>
      <w:r>
        <w:rPr>
          <w:rFonts w:ascii="Times New Roman" w:hAnsi="Times New Roman"/>
          <w:sz w:val="22"/>
        </w:rPr>
        <w:t>Jas, M., et al. (2017). Autoreject: Automated artifact rejection for MEG and EEG data. NeuroImage, 159, 417–429.</w:t>
      </w:r>
    </w:p>
    <w:p>
      <w:pPr>
        <w:spacing w:after="80"/>
        <w:ind w:hanging="720" w:left="720"/>
      </w:pPr>
      <w:r>
        <w:rPr>
          <w:rFonts w:ascii="Times New Roman" w:hAnsi="Times New Roman"/>
          <w:sz w:val="22"/>
        </w:rPr>
        <w:t>Kappenman, E. S., Farrens, J. L., Zhang, W., Stewart, A. X., &amp; Luck, S. J. (2021). ERP CORE: An open resource for human event-related potential research. NeuroImage, 225, 117465.</w:t>
      </w:r>
    </w:p>
    <w:p>
      <w:pPr>
        <w:spacing w:after="80"/>
        <w:ind w:hanging="720" w:left="720"/>
      </w:pPr>
      <w:r>
        <w:rPr>
          <w:rFonts w:ascii="Times New Roman" w:hAnsi="Times New Roman"/>
          <w:sz w:val="22"/>
        </w:rPr>
        <w:t>Kolossa, A., Fingscheidt, T., Wessel, K., &amp; Kopp, B. (2015). A model-based approach to trial-by-trial P300 amplitude fluctuations. Frontiers in Human Neuroscience, 6, 359.</w:t>
      </w:r>
    </w:p>
    <w:p>
      <w:pPr>
        <w:spacing w:after="80"/>
        <w:ind w:hanging="720" w:left="720"/>
      </w:pPr>
      <w:r>
        <w:rPr>
          <w:rFonts w:ascii="Times New Roman" w:hAnsi="Times New Roman"/>
          <w:sz w:val="22"/>
        </w:rPr>
        <w:t>Maris, E., &amp; Oostenveld, R. (2007). Nonparametric statistical testing of EEG- and MEG-data. Journal of Neuroscience Methods, 164(1), 177–190.</w:t>
      </w:r>
    </w:p>
    <w:p>
      <w:pPr>
        <w:spacing w:after="80"/>
        <w:ind w:hanging="720" w:left="720"/>
      </w:pPr>
      <w:r>
        <w:rPr>
          <w:rFonts w:ascii="Times New Roman" w:hAnsi="Times New Roman"/>
          <w:sz w:val="22"/>
        </w:rPr>
        <w:t>Mars, R. B., et al. (2008). Trial-by-trial fluctuations in the event-related electroencephalogram reflect dynamic changes in the degree of surprise. Journal of Neuroscience, 28(47), 12539–12545.</w:t>
      </w:r>
    </w:p>
    <w:p>
      <w:pPr>
        <w:spacing w:after="80"/>
        <w:ind w:hanging="720" w:left="720"/>
      </w:pPr>
      <w:r>
        <w:rPr>
          <w:rFonts w:ascii="Times New Roman" w:hAnsi="Times New Roman"/>
          <w:sz w:val="22"/>
        </w:rPr>
        <w:t>Näätänen, R., Paavilainen, P., Rinne, T., &amp; Alho, K. (2007). The mismatch negativity (MMN) in basic research of central auditory processing. Clinical Neurophysiology, 118(12), 2544–2590.</w:t>
      </w:r>
    </w:p>
    <w:p>
      <w:pPr>
        <w:spacing w:after="80"/>
        <w:ind w:hanging="720" w:left="720"/>
      </w:pPr>
      <w:r>
        <w:rPr>
          <w:rFonts w:ascii="Times New Roman" w:hAnsi="Times New Roman"/>
          <w:sz w:val="22"/>
        </w:rPr>
        <w:t>Ostwald, D., et al. (2012). Evidence for neural encoding of Bayesian surprise in human somatosensation. NeuroImage, 62(1), 177–188.</w:t>
      </w:r>
    </w:p>
    <w:p>
      <w:pPr>
        <w:spacing w:after="80"/>
        <w:ind w:hanging="720" w:left="720"/>
      </w:pPr>
      <w:r>
        <w:rPr>
          <w:rFonts w:ascii="Times New Roman" w:hAnsi="Times New Roman"/>
          <w:sz w:val="22"/>
        </w:rPr>
        <w:t>Pernet, C. R., et al. (2011). Robust, bias-free single trial ERP analysis. NeuroImage, 55(2), 604–613.</w:t>
      </w:r>
    </w:p>
    <w:p>
      <w:pPr>
        <w:spacing w:after="80"/>
        <w:ind w:hanging="720" w:left="720"/>
      </w:pPr>
      <w:r>
        <w:rPr>
          <w:rFonts w:ascii="Times New Roman" w:hAnsi="Times New Roman"/>
          <w:sz w:val="22"/>
        </w:rPr>
        <w:t>Polich, J. (2007). Updating P300: An integrative theory of P3a and P3b. Clinical Neurophysiology, 118(10), 2128–2148.</w:t>
      </w:r>
    </w:p>
    <w:p>
      <w:pPr>
        <w:spacing w:after="80"/>
        <w:ind w:hanging="720" w:left="720"/>
      </w:pPr>
      <w:r>
        <w:rPr>
          <w:rFonts w:ascii="Times New Roman" w:hAnsi="Times New Roman"/>
          <w:sz w:val="22"/>
        </w:rPr>
        <w:t>Rao, R. P. N., &amp; Ballard, D. H. (1999). Predictive coding in the visual cortex. Nature Neuroscience, 2(1), 79–87.</w:t>
      </w:r>
    </w:p>
    <w:p>
      <w:pPr>
        <w:pStyle w:val="Heading1"/>
      </w:pPr>
      <w:r>
        <w:rPr>
          <w:rFonts w:ascii="Times New Roman" w:hAnsi="Times New Roman"/>
          <w:color w:val="000000"/>
        </w:rPr>
        <w:t>Supplementary Material: Simulation Analysis</w:t>
      </w:r>
    </w:p>
    <w:p>
      <w:pPr>
        <w:pStyle w:val="Heading2"/>
      </w:pPr>
      <w:r>
        <w:rPr>
          <w:rFonts w:ascii="Times New Roman" w:hAnsi="Times New Roman"/>
          <w:color w:val="000000"/>
        </w:rPr>
        <w:t>Model Distinguishability in Non-Stationary Paradigms</w:t>
      </w:r>
    </w:p>
    <w:p>
      <w:pPr>
        <w:ind w:firstLine="720"/>
      </w:pPr>
      <w:r>
        <w:rPr>
          <w:rFonts w:ascii="Times New Roman" w:hAnsi="Times New Roman"/>
          <w:sz w:val="24"/>
        </w:rPr>
        <w:t>The stationary oddball paradigm used in our main analyses produces highly correlated surprise regressors (VIF &gt; 70 for Shannon and change-point models), preventing meaningful model comparison. To assess whether these models can be distinguished with appropriate experimental designs, we conducted a simulation study using a roving oddball paradigm with known change points.</w:t>
      </w:r>
    </w:p>
    <w:p>
      <w:pPr>
        <w:pStyle w:val="Heading3"/>
      </w:pPr>
      <w:r>
        <w:rPr>
          <w:rFonts w:ascii="Times New Roman" w:hAnsi="Times New Roman"/>
          <w:color w:val="000000"/>
        </w:rPr>
        <w:t>Methods</w:t>
      </w:r>
    </w:p>
    <w:p>
      <w:pPr>
        <w:ind w:firstLine="720"/>
      </w:pPr>
      <w:r>
        <w:rPr>
          <w:rFonts w:ascii="Times New Roman" w:hAnsi="Times New Roman"/>
          <w:sz w:val="24"/>
        </w:rPr>
      </w:r>
      <w:r>
        <w:rPr>
          <w:rFonts w:ascii="Times New Roman" w:hAnsi="Times New Roman"/>
          <w:b/>
          <w:sz w:val="24"/>
        </w:rPr>
        <w:t>Stimulus sequences.</w:t>
      </w:r>
      <w:r>
        <w:rPr>
          <w:rFonts w:ascii="Times New Roman" w:hAnsi="Times New Roman"/>
          <w:sz w:val="24"/>
        </w:rPr>
        <w:t xml:space="preserve"> We generated non-stationary oddball sequences (800 trials, 10 blocks of 80 trials) where the deviant probability alternated between low (p = 0.10–0.15) and high (p = 0.35–0.50) blocks, creating 9 change points. For comparison, we also generated stationary sequences with fixed p = 0.20.</w:t>
      </w:r>
    </w:p>
    <w:p>
      <w:pPr>
        <w:ind w:firstLine="720"/>
      </w:pPr>
      <w:r>
        <w:rPr>
          <w:rFonts w:ascii="Times New Roman" w:hAnsi="Times New Roman"/>
          <w:sz w:val="24"/>
        </w:rPr>
      </w:r>
      <w:r>
        <w:rPr>
          <w:rFonts w:ascii="Times New Roman" w:hAnsi="Times New Roman"/>
          <w:b/>
          <w:sz w:val="24"/>
        </w:rPr>
        <w:t>Regressor dissociability.</w:t>
      </w:r>
      <w:r>
        <w:rPr>
          <w:rFonts w:ascii="Times New Roman" w:hAnsi="Times New Roman"/>
          <w:sz w:val="24"/>
        </w:rPr>
        <w:t xml:space="preserve"> All four surprise models were computed on each sequence type, and we compared correlation matrices and VIF values.</w:t>
      </w:r>
    </w:p>
    <w:p>
      <w:pPr>
        <w:ind w:firstLine="720"/>
      </w:pPr>
      <w:r>
        <w:rPr>
          <w:rFonts w:ascii="Times New Roman" w:hAnsi="Times New Roman"/>
          <w:sz w:val="24"/>
        </w:rPr>
      </w:r>
      <w:r>
        <w:rPr>
          <w:rFonts w:ascii="Times New Roman" w:hAnsi="Times New Roman"/>
          <w:b/>
          <w:sz w:val="24"/>
        </w:rPr>
        <w:t>Model recovery.</w:t>
      </w:r>
      <w:r>
        <w:rPr>
          <w:rFonts w:ascii="Times New Roman" w:hAnsi="Times New Roman"/>
          <w:sz w:val="24"/>
        </w:rPr>
        <w:t xml:space="preserve"> For each of the four surprise models as ground truth, we simulated single-trial EEG data: amplitude = β₀ + β₁·stimulus + β₂·surprise_true + noise (effect size β₂ = 0.05–0.50, noise σ = 1.0). All four models were then fit to the simulated data, and the model with the lowest AIC was selected as the recovered model. We ran 500 simulations per ground-truth model at β = 0.20 and swept across 6 effect sizes with 200 simulations each.</w:t>
      </w:r>
    </w:p>
    <w:p>
      <w:pPr>
        <w:pStyle w:val="Heading3"/>
      </w:pPr>
      <w:r>
        <w:rPr>
          <w:rFonts w:ascii="Times New Roman" w:hAnsi="Times New Roman"/>
          <w:color w:val="000000"/>
        </w:rPr>
        <w:t>Results</w:t>
      </w:r>
    </w:p>
    <w:p>
      <w:pPr>
        <w:ind w:firstLine="720"/>
      </w:pPr>
      <w:r>
        <w:rPr>
          <w:rFonts w:ascii="Times New Roman" w:hAnsi="Times New Roman"/>
          <w:sz w:val="24"/>
        </w:rPr>
      </w:r>
      <w:r>
        <w:rPr>
          <w:rFonts w:ascii="Times New Roman" w:hAnsi="Times New Roman"/>
          <w:b/>
          <w:sz w:val="24"/>
        </w:rPr>
        <w:t>Regressor dissociability.</w:t>
      </w:r>
      <w:r>
        <w:rPr>
          <w:rFonts w:ascii="Times New Roman" w:hAnsi="Times New Roman"/>
          <w:sz w:val="24"/>
        </w:rPr>
        <w:t xml:space="preserve"> In the roving paradigm, mean VIF decreased from 11.7 (stationary) to 6.5 (roving), a 44% reduction. Static Shannon VIF dropped from 10.9 to 2.4 (78% reduction). However, adaptive Shannon and change-point remained moderately collinear (VIF ≈ 10–12) even in the roving design.</w:t>
      </w:r>
    </w:p>
    <w:p>
      <w:pPr>
        <w:ind w:firstLine="720"/>
      </w:pPr>
      <w:r>
        <w:rPr>
          <w:rFonts w:ascii="Times New Roman" w:hAnsi="Times New Roman"/>
          <w:sz w:val="24"/>
        </w:rPr>
      </w:r>
      <w:r>
        <w:rPr>
          <w:rFonts w:ascii="Times New Roman" w:hAnsi="Times New Roman"/>
          <w:b/>
          <w:sz w:val="24"/>
        </w:rPr>
        <w:t>Model recovery.</w:t>
      </w:r>
      <w:r>
        <w:rPr>
          <w:rFonts w:ascii="Times New Roman" w:hAnsi="Times New Roman"/>
          <w:sz w:val="24"/>
        </w:rPr>
        <w:t xml:space="preserve"> At effect size β = 0.20, overall recovery rate was 65.2%. Critically, recovery rates differed dramatically across models:</w:t>
      </w:r>
    </w:p>
    <w:p>
      <w:pPr>
        <w:pStyle w:val="ListBullet"/>
      </w:pPr>
      <w:r>
        <w:rPr>
          <w:rFonts w:ascii="Times New Roman" w:hAnsi="Times New Roman"/>
          <w:sz w:val="24"/>
        </w:rPr>
      </w:r>
      <w:r>
        <w:rPr>
          <w:rFonts w:ascii="Times New Roman" w:hAnsi="Times New Roman"/>
          <w:b/>
          <w:sz w:val="24"/>
        </w:rPr>
        <w:t>Bayesian surprise: 100% recovery.</w:t>
      </w:r>
      <w:r>
        <w:rPr>
          <w:rFonts w:ascii="Times New Roman" w:hAnsi="Times New Roman"/>
          <w:sz w:val="24"/>
        </w:rPr>
        <w:t xml:space="preserve"> The KL divergence signal is distinct from frequency-based models, producing spikes at transitions that no other model replicates.</w:t>
      </w:r>
    </w:p>
    <w:p>
      <w:pPr>
        <w:pStyle w:val="ListBullet"/>
      </w:pPr>
      <w:r>
        <w:rPr>
          <w:rFonts w:ascii="Times New Roman" w:hAnsi="Times New Roman"/>
          <w:sz w:val="24"/>
        </w:rPr>
      </w:r>
      <w:r>
        <w:rPr>
          <w:rFonts w:ascii="Times New Roman" w:hAnsi="Times New Roman"/>
          <w:b/>
          <w:sz w:val="24"/>
        </w:rPr>
        <w:t>Adaptive Shannon: 82% recovery.</w:t>
      </w:r>
      <w:r>
        <w:rPr>
          <w:rFonts w:ascii="Times New Roman" w:hAnsi="Times New Roman"/>
          <w:sz w:val="24"/>
        </w:rPr>
        <w:t xml:space="preserve"> The sliding window produces a delayed tracking signal that is distinguishable from Bayesian and static models.</w:t>
      </w:r>
    </w:p>
    <w:p>
      <w:pPr>
        <w:pStyle w:val="ListBullet"/>
      </w:pPr>
      <w:r>
        <w:rPr>
          <w:rFonts w:ascii="Times New Roman" w:hAnsi="Times New Roman"/>
          <w:sz w:val="24"/>
        </w:rPr>
      </w:r>
      <w:r>
        <w:rPr>
          <w:rFonts w:ascii="Times New Roman" w:hAnsi="Times New Roman"/>
          <w:b/>
          <w:sz w:val="24"/>
        </w:rPr>
        <w:t>Change-point: 79% recovery.</w:t>
      </w:r>
      <w:r>
        <w:rPr>
          <w:rFonts w:ascii="Times New Roman" w:hAnsi="Times New Roman"/>
          <w:sz w:val="24"/>
        </w:rPr>
        <w:t xml:space="preserve"> The predictive surprise signal is similar to adaptive Shannon in roving paradigms (r = 0.95), creating some confusion between these models.</w:t>
      </w:r>
    </w:p>
    <w:p>
      <w:pPr>
        <w:pStyle w:val="ListBullet"/>
      </w:pPr>
      <w:r>
        <w:rPr>
          <w:rFonts w:ascii="Times New Roman" w:hAnsi="Times New Roman"/>
          <w:sz w:val="24"/>
        </w:rPr>
      </w:r>
      <w:r>
        <w:rPr>
          <w:rFonts w:ascii="Times New Roman" w:hAnsi="Times New Roman"/>
          <w:b/>
          <w:sz w:val="24"/>
        </w:rPr>
        <w:t>Static Shannon: 0% recovery.</w:t>
      </w:r>
      <w:r>
        <w:rPr>
          <w:rFonts w:ascii="Times New Roman" w:hAnsi="Times New Roman"/>
          <w:sz w:val="24"/>
        </w:rPr>
        <w:t xml:space="preserve"> Because static Shannon uses global frequencies and does not adapt, its signal is indistinguishable from the other frequency-based models. It was consistently confused with Bayesian (45%) and change-point (28%) surprise.</w:t>
      </w:r>
    </w:p>
    <w:p>
      <w:pPr>
        <w:ind w:firstLine="720"/>
      </w:pPr>
      <w:r>
        <w:rPr>
          <w:rFonts w:ascii="Times New Roman" w:hAnsi="Times New Roman"/>
          <w:sz w:val="24"/>
        </w:rPr>
      </w:r>
      <w:r>
        <w:rPr>
          <w:rFonts w:ascii="Times New Roman" w:hAnsi="Times New Roman"/>
          <w:b/>
          <w:sz w:val="24"/>
        </w:rPr>
        <w:t>Effect size sweep.</w:t>
      </w:r>
      <w:r>
        <w:rPr>
          <w:rFonts w:ascii="Times New Roman" w:hAnsi="Times New Roman"/>
          <w:sz w:val="24"/>
        </w:rPr>
        <w:t xml:space="preserve"> Bayesian surprise reached ≥94% recovery at β = 0.10 and 100% at β ≥ 0.15. Adaptive Shannon and change-point required β ≥ 0.20 for &gt;80% recovery. Static Shannon never exceeded chance regardless of effect size, indicating a fundamental identifiability problem.</w:t>
      </w:r>
    </w:p>
    <w:p>
      <w:pPr>
        <w:jc w:val="center"/>
      </w:pPr>
      <w:r>
        <w:drawing>
          <wp:inline xmlns:a="http://schemas.openxmlformats.org/drawingml/2006/main" xmlns:pic="http://schemas.openxmlformats.org/drawingml/2006/picture">
            <wp:extent cx="5486400" cy="3920802"/>
            <wp:docPr id="5" name="Picture 5"/>
            <wp:cNvGraphicFramePr>
              <a:graphicFrameLocks noChangeAspect="1"/>
            </wp:cNvGraphicFramePr>
            <a:graphic>
              <a:graphicData uri="http://schemas.openxmlformats.org/drawingml/2006/picture">
                <pic:pic>
                  <pic:nvPicPr>
                    <pic:cNvPr id="0" name="fig5_simulation.png"/>
                    <pic:cNvPicPr/>
                  </pic:nvPicPr>
                  <pic:blipFill>
                    <a:blip r:embed="rId13"/>
                    <a:stretch>
                      <a:fillRect/>
                    </a:stretch>
                  </pic:blipFill>
                  <pic:spPr>
                    <a:xfrm>
                      <a:off x="0" y="0"/>
                      <a:ext cx="5486400" cy="3920802"/>
                    </a:xfrm>
                    <a:prstGeom prst="rect"/>
                  </pic:spPr>
                </pic:pic>
              </a:graphicData>
            </a:graphic>
          </wp:inline>
        </w:drawing>
      </w:r>
    </w:p>
    <w:p>
      <w:pPr>
        <w:spacing w:after="240"/>
        <w:jc w:val="left"/>
      </w:pPr>
      <w:r>
        <w:rPr>
          <w:rFonts w:ascii="Times New Roman" w:hAnsi="Times New Roman"/>
          <w:b/>
          <w:sz w:val="20"/>
        </w:rPr>
        <w:t xml:space="preserve">Figure 5. </w:t>
      </w:r>
      <w:r>
        <w:rPr>
          <w:rFonts w:ascii="Times New Roman" w:hAnsi="Times New Roman"/>
          <w:sz w:val="20"/>
        </w:rPr>
        <w:t>Simulation results for non-stationary (roving) oddball paradigms. (A) Surprise traces in a stationary paradigm, all models highly correlated. (B) Surprise traces in a roving paradigm, models diverge at change points (dashed lines). Dotted line shows true deviant probability. (C) VIF comparison: roving paradigms substantially reduce multicollinearity. (D) Model recovery confusion matrix (β = 0.20, 500 simulations). Bayesian surprise is perfectly recoverable; static Shannon is never recovered. (E) Recovery rate as a function of effect size. (F) Design recommendations for future studies.</w:t>
      </w:r>
    </w:p>
    <w:p>
      <w:pPr>
        <w:pStyle w:val="Heading3"/>
      </w:pPr>
      <w:r>
        <w:rPr>
          <w:rFonts w:ascii="Times New Roman" w:hAnsi="Times New Roman"/>
          <w:color w:val="000000"/>
        </w:rPr>
        <w:t>Implications</w:t>
      </w:r>
    </w:p>
    <w:p>
      <w:pPr>
        <w:ind w:firstLine="720"/>
      </w:pPr>
      <w:r>
        <w:rPr>
          <w:rFonts w:ascii="Times New Roman" w:hAnsi="Times New Roman"/>
          <w:sz w:val="24"/>
        </w:rPr>
        <w:t>The inability to distinguish surprise models in our main analyses is a property of the stationary oddball paradigm, not an inherent limitation of the computational framework. Three concrete recommendations emerge:</w:t>
      </w:r>
    </w:p>
    <w:p>
      <w:pPr>
        <w:ind w:firstLine="720"/>
      </w:pPr>
      <w:r>
        <w:rPr>
          <w:rFonts w:ascii="Times New Roman" w:hAnsi="Times New Roman"/>
          <w:sz w:val="24"/>
        </w:rPr>
        <w:t>First, roving or volatile paradigms are essential for testing competing surprise theories. Fixed-probability oddballs render most model comparisons uninformative due to multicollinearity.</w:t>
      </w:r>
    </w:p>
    <w:p>
      <w:pPr>
        <w:ind w:firstLine="720"/>
      </w:pPr>
      <w:r>
        <w:rPr>
          <w:rFonts w:ascii="Times New Roman" w:hAnsi="Times New Roman"/>
          <w:sz w:val="24"/>
        </w:rPr>
        <w:t>Second, Bayesian surprise is the most identifiable model and should be prioritized in future benchmark studies. Its unique sensitivity to belief revision produces signals that no frequency-based model can mimic.</w:t>
      </w:r>
    </w:p>
    <w:p>
      <w:pPr>
        <w:ind w:firstLine="720"/>
      </w:pPr>
      <w:r>
        <w:rPr>
          <w:rFonts w:ascii="Times New Roman" w:hAnsi="Times New Roman"/>
          <w:sz w:val="24"/>
        </w:rPr>
        <w:t>Third, static Shannon surprise should not be included as a competing model in formal comparisons, as it is fundamentally unidentifiable — it cannot be recovered even under ideal conditions. Its role should be limited to serving as a naive baseline.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