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281C" w14:textId="77777777" w:rsidR="005228DC" w:rsidRDefault="00000000">
      <w:r>
        <w:rPr>
          <w:sz w:val="20"/>
        </w:rPr>
        <w:t>Running head: SURPRISE SIGNATURES IN HUMAN EEG</w:t>
      </w:r>
    </w:p>
    <w:p w14:paraId="22D97225" w14:textId="77777777" w:rsidR="005228DC" w:rsidRDefault="00000000">
      <w:pPr>
        <w:spacing w:after="240"/>
        <w:jc w:val="center"/>
      </w:pPr>
      <w:r>
        <w:rPr>
          <w:b/>
          <w:sz w:val="28"/>
        </w:rPr>
        <w:t>Stochastic Surprise Signatures in Human EEG:</w:t>
      </w:r>
      <w:r>
        <w:rPr>
          <w:b/>
          <w:sz w:val="28"/>
        </w:rPr>
        <w:br/>
        <w:t>A Reproducible Benchmark of Prediction-Error Models</w:t>
      </w:r>
      <w:r>
        <w:rPr>
          <w:b/>
          <w:sz w:val="28"/>
        </w:rPr>
        <w:br/>
        <w:t>Using the ERP CORE Oddball Dataset</w:t>
      </w:r>
    </w:p>
    <w:p w14:paraId="0AFCC338" w14:textId="77777777" w:rsidR="005228DC" w:rsidRDefault="00000000">
      <w:pPr>
        <w:jc w:val="center"/>
      </w:pPr>
      <w:r>
        <w:rPr>
          <w:sz w:val="22"/>
        </w:rPr>
        <w:t>[Author A]^1 and [Author B]^1</w:t>
      </w:r>
    </w:p>
    <w:p w14:paraId="1DDA03A7" w14:textId="77777777" w:rsidR="005228DC" w:rsidRDefault="00000000">
      <w:pPr>
        <w:jc w:val="center"/>
      </w:pPr>
      <w:r>
        <w:rPr>
          <w:sz w:val="22"/>
        </w:rPr>
        <w:t>^1 Department of [Department], University of Nebraska–Lincoln, Lincoln, NE, USA</w:t>
      </w:r>
    </w:p>
    <w:p w14:paraId="4FCADC02" w14:textId="77777777" w:rsidR="005228DC" w:rsidRDefault="00000000">
      <w:pPr>
        <w:jc w:val="center"/>
      </w:pPr>
      <w:r>
        <w:rPr>
          <w:sz w:val="22"/>
        </w:rPr>
        <w:t>Corresponding author: [Author], [email]@unl.edu, ORCID: [0000-0000-0000-0000]</w:t>
      </w:r>
    </w:p>
    <w:p w14:paraId="3467175D" w14:textId="77777777" w:rsidR="005228DC" w:rsidRDefault="00000000">
      <w:r>
        <w:rPr>
          <w:b/>
          <w:sz w:val="22"/>
        </w:rPr>
        <w:t xml:space="preserve">Keywords: </w:t>
      </w:r>
      <w:r>
        <w:rPr>
          <w:sz w:val="22"/>
        </w:rPr>
        <w:t>prediction error, surprise, mismatch negativity, P3b, Bayesian inference, EEG</w:t>
      </w:r>
    </w:p>
    <w:p w14:paraId="71F80E11" w14:textId="77777777" w:rsidR="005228DC" w:rsidRDefault="00000000">
      <w:r>
        <w:br w:type="page"/>
      </w:r>
    </w:p>
    <w:p w14:paraId="5440A6B9" w14:textId="77777777" w:rsidR="005228DC" w:rsidRDefault="00000000">
      <w:pPr>
        <w:pStyle w:val="Heading1"/>
      </w:pPr>
      <w:r>
        <w:rPr>
          <w:rFonts w:ascii="Times New Roman" w:hAnsi="Times New Roman"/>
          <w:color w:val="000000"/>
        </w:rPr>
        <w:lastRenderedPageBreak/>
        <w:t>Abstract</w:t>
      </w:r>
    </w:p>
    <w:p w14:paraId="4F48ED7C" w14:textId="77777777" w:rsidR="005228DC" w:rsidRDefault="00000000">
      <w:r>
        <w:t>The brain continuously generates predictions about incoming sensory input and produces characteristic neural responses when those predictions are violated. In EEG oddball paradigms, these prediction-error responses manifest as the mismatch negativity (MMN) and P3b components. However, “surprise” can be formalized in multiple ways, and no prior study has systematically compared these formulations on the same dataset using single-trial methods. Here, we implemented four hierarchical surprise estimators and applied them to the ERP CORE dataset (N = 39 subjects, auditory MMN and visual P3 paradigms). Using linear mixed-effects encoding models, we found that Bayesian surprise — quantifying the magnitude of belief revision — showed the strongest association with single-trial MMN amplitude among all models tested (uncorrected p = 0.015), though this did not survive Holm–Bonferroni correction for multiple comparisons (p_corrected = 0.062). High multicollinearity among Shannon-based and change-point regressors (VIF &gt; 70) limited the interpretability of direct model comparisons. In a cross-subject decoding analysis, contextual surprise features did not improve classification of stimulus class beyond ERP amplitude features alone (ΔAUC = −0.093). We conclude that Bayesian surprise shows the strongest trend among competing models, but that stationary oddball paradigms may lack sufficient power to definitively distinguish surprise formulations. All data, code, and analysis pipelines are publicly available.</w:t>
      </w:r>
    </w:p>
    <w:p w14:paraId="7383F36B" w14:textId="77777777" w:rsidR="000E26CC" w:rsidRDefault="000E26CC"/>
    <w:p w14:paraId="2BB99442" w14:textId="77777777" w:rsidR="000E26CC" w:rsidRDefault="000E26CC"/>
    <w:p w14:paraId="123D05B8" w14:textId="77777777" w:rsidR="000E26CC" w:rsidRDefault="000E26CC"/>
    <w:p w14:paraId="0BAD227E" w14:textId="77777777" w:rsidR="000E26CC" w:rsidRDefault="000E26CC"/>
    <w:p w14:paraId="00979D59" w14:textId="77777777" w:rsidR="000E26CC" w:rsidRDefault="000E26CC"/>
    <w:p w14:paraId="5AE4759F" w14:textId="77777777" w:rsidR="000E26CC" w:rsidRDefault="000E26CC"/>
    <w:p w14:paraId="3B8F5F7F" w14:textId="77777777" w:rsidR="000E26CC" w:rsidRDefault="000E26CC"/>
    <w:p w14:paraId="30180E87" w14:textId="77777777" w:rsidR="000E26CC" w:rsidRDefault="000E26CC"/>
    <w:p w14:paraId="3BCB8590" w14:textId="77777777" w:rsidR="005228DC" w:rsidRDefault="00000000">
      <w:pPr>
        <w:pStyle w:val="Heading1"/>
      </w:pPr>
      <w:r>
        <w:rPr>
          <w:rFonts w:ascii="Times New Roman" w:hAnsi="Times New Roman"/>
          <w:color w:val="000000"/>
        </w:rPr>
        <w:lastRenderedPageBreak/>
        <w:t>1. Introduction</w:t>
      </w:r>
    </w:p>
    <w:p w14:paraId="09CFC526" w14:textId="77777777" w:rsidR="005228DC" w:rsidRDefault="00000000">
      <w:pPr>
        <w:ind w:firstLine="720"/>
      </w:pPr>
      <w:r>
        <w:t>The brain has been characterized as a prediction machine that continuously generates expectations about incoming sensory input and updates internal models when those expectations are violated (Rao &amp; Ballard, 1999; Friston, 2005). This predictive processing framework provides a unifying account of perception, attention, and learning, proposing that neural activity primarily encodes the discrepancy between predicted and observed events — the prediction error.</w:t>
      </w:r>
    </w:p>
    <w:p w14:paraId="02CB027F" w14:textId="77777777" w:rsidR="005228DC" w:rsidRDefault="00000000">
      <w:pPr>
        <w:ind w:firstLine="720"/>
      </w:pPr>
      <w:r>
        <w:t>Oddball paradigms offer the cleanest experimental window into neural prediction-error processing. In these paradigms, rare deviant stimuli are embedded among frequent standard stimuli, and the brain produces characteristic electrophysiological responses to the deviants. The mismatch negativity (MMN) is an early fronto-central ERP component (100–250 ms post-stimulus) reflecting automatic detection of auditory deviance (Näätänen et al., 2007). The P3b is a later parietal component (250–500 ms) reflecting context updating and the evaluation of surprising events (Polich, 2007).</w:t>
      </w:r>
    </w:p>
    <w:p w14:paraId="412B84C0" w14:textId="77777777" w:rsidR="005228DC" w:rsidRDefault="00000000">
      <w:pPr>
        <w:ind w:firstLine="720"/>
      </w:pPr>
      <w:r>
        <w:t>While these ERP components are well-established, “surprise” can be mathematically defined in multiple ways. Shannon surprise (S = −log p(x)) quantifies event rarity. Bayesian surprise, defined as the KL divergence between successive posterior beliefs (Itti &amp; Baldi, 2009), measures the magnitude of belief revision. Change-point models (Adams &amp; MacKay, 2007) compute the posterior probability that the generative process has changed. Prior work has examined these models individually (Mars et al., 2008; Kolossa et al., 2015; Ostwald et al., 2012), but no study has systematically compared them on the same dataset using single-trial methods and formal model comparison.</w:t>
      </w:r>
    </w:p>
    <w:p w14:paraId="3D907F96" w14:textId="77777777" w:rsidR="005228DC" w:rsidRDefault="00000000">
      <w:pPr>
        <w:ind w:firstLine="720"/>
      </w:pPr>
      <w:r>
        <w:t>Here, we implement four hierarchical surprise estimators and benchmark their ability to explain trial-by-trial EEG prediction-error responses in the ERP CORE dataset (Kappenman et al., 2021). We hypothesize that: (H1) adaptive surprise estimators will better explain single-trial ERP responses than static frequency-based surprise; and (H2) surprise-derived features will improve cross-subject decoding of stimulus class.</w:t>
      </w:r>
    </w:p>
    <w:p w14:paraId="6B7B730F" w14:textId="77777777" w:rsidR="005228DC" w:rsidRDefault="00000000">
      <w:pPr>
        <w:pStyle w:val="Heading1"/>
      </w:pPr>
      <w:r>
        <w:rPr>
          <w:rFonts w:ascii="Times New Roman" w:hAnsi="Times New Roman"/>
          <w:color w:val="000000"/>
        </w:rPr>
        <w:lastRenderedPageBreak/>
        <w:t>2. Methods</w:t>
      </w:r>
    </w:p>
    <w:p w14:paraId="79F9F0EB" w14:textId="77777777" w:rsidR="005228DC" w:rsidRDefault="00000000">
      <w:pPr>
        <w:pStyle w:val="Heading2"/>
      </w:pPr>
      <w:r>
        <w:rPr>
          <w:rFonts w:ascii="Times New Roman" w:hAnsi="Times New Roman"/>
          <w:color w:val="000000"/>
        </w:rPr>
        <w:t>2.1 Dataset</w:t>
      </w:r>
    </w:p>
    <w:p w14:paraId="049C6BEC" w14:textId="77777777" w:rsidR="005228DC" w:rsidRDefault="00000000">
      <w:pPr>
        <w:ind w:firstLine="720"/>
      </w:pPr>
      <w:r>
        <w:t>We used the ERP CORE dataset (Kappenman et al., 2021; N = 40, sub-012 excluded from original release, sub-007 excluded for excessive artifact rejection [85.4% rejection rate], yielding N = 38 for MMN analyses). We analyzed the MMN paradigm (auditory oddball; ~80% standards, ~20% deviants) and the P3 paradigm (visual oddball; ~80% non-targets, ~20% targets; sub-003, sub-005, sub-032 excluded for &gt;80% rejection rates, yielding N = 36). Data were recorded at 1024 Hz from 30 EEG channels plus 3 EOG channels.</w:t>
      </w:r>
    </w:p>
    <w:p w14:paraId="7FE4FCA5" w14:textId="77777777" w:rsidR="005228DC" w:rsidRDefault="00000000">
      <w:pPr>
        <w:pStyle w:val="Heading2"/>
      </w:pPr>
      <w:r>
        <w:rPr>
          <w:rFonts w:ascii="Times New Roman" w:hAnsi="Times New Roman"/>
          <w:color w:val="000000"/>
        </w:rPr>
        <w:t>2.2 Preprocessing</w:t>
      </w:r>
    </w:p>
    <w:p w14:paraId="0EBD43D3" w14:textId="77777777" w:rsidR="005228DC" w:rsidRDefault="00000000">
      <w:r>
        <w:t>All preprocessing was performed using MNE-Python 1.8.0 (Gramfort et al., 2013). Table 1 lists all parameters.</w:t>
      </w:r>
    </w:p>
    <w:tbl>
      <w:tblPr>
        <w:tblStyle w:val="LightGrid-Accent1"/>
        <w:tblW w:w="0" w:type="auto"/>
        <w:tblLook w:val="04A0" w:firstRow="1" w:lastRow="0" w:firstColumn="1" w:lastColumn="0" w:noHBand="0" w:noVBand="1"/>
      </w:tblPr>
      <w:tblGrid>
        <w:gridCol w:w="4680"/>
        <w:gridCol w:w="4680"/>
      </w:tblGrid>
      <w:tr w:rsidR="005228DC" w14:paraId="24EDCC0A" w14:textId="77777777" w:rsidTr="00522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DFAF20" w14:textId="77777777" w:rsidR="005228DC" w:rsidRDefault="00000000">
            <w:r>
              <w:rPr>
                <w:sz w:val="18"/>
              </w:rPr>
              <w:t>Parameter</w:t>
            </w:r>
          </w:p>
        </w:tc>
        <w:tc>
          <w:tcPr>
            <w:tcW w:w="4680" w:type="dxa"/>
          </w:tcPr>
          <w:p w14:paraId="594E1E50"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Specification</w:t>
            </w:r>
          </w:p>
        </w:tc>
      </w:tr>
      <w:tr w:rsidR="005228DC" w14:paraId="6B02AD12"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B96177" w14:textId="77777777" w:rsidR="005228DC" w:rsidRDefault="00000000">
            <w:r>
              <w:rPr>
                <w:sz w:val="18"/>
              </w:rPr>
              <w:t>High-pass filter</w:t>
            </w:r>
          </w:p>
        </w:tc>
        <w:tc>
          <w:tcPr>
            <w:tcW w:w="4680" w:type="dxa"/>
          </w:tcPr>
          <w:p w14:paraId="4FDCF729"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0.1 Hz (zero-phase FIR, Hamming window)</w:t>
            </w:r>
          </w:p>
        </w:tc>
      </w:tr>
      <w:tr w:rsidR="005228DC" w14:paraId="46EBA9E0"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B668D3" w14:textId="77777777" w:rsidR="005228DC" w:rsidRDefault="00000000">
            <w:r>
              <w:rPr>
                <w:sz w:val="18"/>
              </w:rPr>
              <w:t>Low-pass filter</w:t>
            </w:r>
          </w:p>
        </w:tc>
        <w:tc>
          <w:tcPr>
            <w:tcW w:w="4680" w:type="dxa"/>
          </w:tcPr>
          <w:p w14:paraId="50E04609"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30 Hz (zero-phase FIR, Hamming window)</w:t>
            </w:r>
          </w:p>
        </w:tc>
      </w:tr>
      <w:tr w:rsidR="005228DC" w14:paraId="6A99E8DE"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E0D1B6" w14:textId="77777777" w:rsidR="005228DC" w:rsidRDefault="00000000">
            <w:r>
              <w:rPr>
                <w:sz w:val="18"/>
              </w:rPr>
              <w:t>Sampling rate</w:t>
            </w:r>
          </w:p>
        </w:tc>
        <w:tc>
          <w:tcPr>
            <w:tcW w:w="4680" w:type="dxa"/>
          </w:tcPr>
          <w:p w14:paraId="20DA1D11"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256 Hz (downsampled from 1024 Hz)</w:t>
            </w:r>
          </w:p>
        </w:tc>
      </w:tr>
      <w:tr w:rsidR="005228DC" w14:paraId="4FC4560D"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8788BB" w14:textId="77777777" w:rsidR="005228DC" w:rsidRDefault="00000000">
            <w:r>
              <w:rPr>
                <w:sz w:val="18"/>
              </w:rPr>
              <w:t>Reference</w:t>
            </w:r>
          </w:p>
        </w:tc>
        <w:tc>
          <w:tcPr>
            <w:tcW w:w="4680" w:type="dxa"/>
          </w:tcPr>
          <w:p w14:paraId="43953FFB"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Average reference</w:t>
            </w:r>
          </w:p>
        </w:tc>
      </w:tr>
      <w:tr w:rsidR="005228DC" w14:paraId="177D12F9"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2610B5" w14:textId="77777777" w:rsidR="005228DC" w:rsidRDefault="00000000">
            <w:r>
              <w:rPr>
                <w:sz w:val="18"/>
              </w:rPr>
              <w:t>Artifact rejection (ICA)</w:t>
            </w:r>
          </w:p>
        </w:tc>
        <w:tc>
          <w:tcPr>
            <w:tcW w:w="4680" w:type="dxa"/>
          </w:tcPr>
          <w:p w14:paraId="615BBD61"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FastICA, 15 components, automatic EOG detection</w:t>
            </w:r>
          </w:p>
        </w:tc>
      </w:tr>
      <w:tr w:rsidR="005228DC" w14:paraId="10F6EAA6"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4DA10A" w14:textId="77777777" w:rsidR="005228DC" w:rsidRDefault="00000000">
            <w:r>
              <w:rPr>
                <w:sz w:val="18"/>
              </w:rPr>
              <w:t>Artifact rejection (epochs)</w:t>
            </w:r>
          </w:p>
        </w:tc>
        <w:tc>
          <w:tcPr>
            <w:tcW w:w="4680" w:type="dxa"/>
          </w:tcPr>
          <w:p w14:paraId="2127DA85"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Amplitude threshold: ±150 µV</w:t>
            </w:r>
          </w:p>
        </w:tc>
      </w:tr>
      <w:tr w:rsidR="005228DC" w14:paraId="02B2846A"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949CF9" w14:textId="77777777" w:rsidR="005228DC" w:rsidRDefault="00000000">
            <w:r>
              <w:rPr>
                <w:sz w:val="18"/>
              </w:rPr>
              <w:t>Epoch window</w:t>
            </w:r>
          </w:p>
        </w:tc>
        <w:tc>
          <w:tcPr>
            <w:tcW w:w="4680" w:type="dxa"/>
          </w:tcPr>
          <w:p w14:paraId="3F56DEEA"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−200 to 800 ms (stimulus-locked)</w:t>
            </w:r>
          </w:p>
        </w:tc>
      </w:tr>
      <w:tr w:rsidR="005228DC" w14:paraId="5032AD2E"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8E7BFA" w14:textId="77777777" w:rsidR="005228DC" w:rsidRDefault="00000000">
            <w:r>
              <w:rPr>
                <w:sz w:val="18"/>
              </w:rPr>
              <w:t>Baseline correction</w:t>
            </w:r>
          </w:p>
        </w:tc>
        <w:tc>
          <w:tcPr>
            <w:tcW w:w="4680" w:type="dxa"/>
          </w:tcPr>
          <w:p w14:paraId="1636D268"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−200 to 0 ms</w:t>
            </w:r>
          </w:p>
        </w:tc>
      </w:tr>
      <w:tr w:rsidR="005228DC" w14:paraId="56C0120C"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2AAFE7" w14:textId="77777777" w:rsidR="005228DC" w:rsidRDefault="00000000">
            <w:r>
              <w:rPr>
                <w:sz w:val="18"/>
              </w:rPr>
              <w:t>Exclusion criterion</w:t>
            </w:r>
          </w:p>
        </w:tc>
        <w:tc>
          <w:tcPr>
            <w:tcW w:w="4680" w:type="dxa"/>
          </w:tcPr>
          <w:p w14:paraId="57AB03DD"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&lt;100 epochs (MMN) or &lt;30 epochs (P3), or &gt;80% rejection rate</w:t>
            </w:r>
          </w:p>
        </w:tc>
      </w:tr>
    </w:tbl>
    <w:p w14:paraId="21812B41" w14:textId="77777777" w:rsidR="005228DC" w:rsidRDefault="005228DC"/>
    <w:p w14:paraId="73652EBB" w14:textId="77777777" w:rsidR="005228DC" w:rsidRDefault="00000000">
      <w:r>
        <w:rPr>
          <w:b/>
        </w:rPr>
        <w:t>Table 1.</w:t>
      </w:r>
      <w:r>
        <w:t xml:space="preserve"> Preprocessing parameters and exclusion criteria.</w:t>
      </w:r>
    </w:p>
    <w:p w14:paraId="0BBEBF23" w14:textId="77777777" w:rsidR="005228DC" w:rsidRDefault="00000000">
      <w:pPr>
        <w:ind w:firstLine="720"/>
      </w:pPr>
      <w:r>
        <w:t>After preprocessing and exclusion, the MMN dataset comprised 35,332 epochs across 38 subjects (mean 930 ± 48 per subject; 7.0% rejection rate). The P3 dataset comprised 5,865 epochs across 36 subjects.</w:t>
      </w:r>
    </w:p>
    <w:p w14:paraId="2FB7574A" w14:textId="77777777" w:rsidR="005228DC" w:rsidRDefault="00000000">
      <w:pPr>
        <w:pStyle w:val="Heading2"/>
      </w:pPr>
      <w:r>
        <w:rPr>
          <w:rFonts w:ascii="Times New Roman" w:hAnsi="Times New Roman"/>
          <w:color w:val="000000"/>
        </w:rPr>
        <w:lastRenderedPageBreak/>
        <w:t>2.3 Surprise Estimators</w:t>
      </w:r>
    </w:p>
    <w:p w14:paraId="279C86DA" w14:textId="77777777" w:rsidR="005228DC" w:rsidRDefault="00000000">
      <w:r>
        <w:t xml:space="preserve">All estimators operated on the binary stimulus sequence (0 = standard, 1 = deviant). (1) </w:t>
      </w:r>
      <w:r>
        <w:rPr>
          <w:b/>
        </w:rPr>
        <w:t>Static Shannon surprise:</w:t>
      </w:r>
      <w:r>
        <w:t xml:space="preserve"> S_t = −log₂ p_global(x_t). (2) </w:t>
      </w:r>
      <w:r>
        <w:rPr>
          <w:b/>
        </w:rPr>
        <w:t>Adaptive Shannon surprise:</w:t>
      </w:r>
      <w:r>
        <w:t xml:space="preserve"> S_t = −log₂ p_w(x_t) with sliding window w = 20. (3) </w:t>
      </w:r>
      <w:r>
        <w:rPr>
          <w:b/>
        </w:rPr>
        <w:t>Bayesian surprise:</w:t>
      </w:r>
      <w:r>
        <w:t xml:space="preserve"> KL divergence between successive Beta-Bernoulli posteriors with flat prior. (4) </w:t>
      </w:r>
      <w:r>
        <w:rPr>
          <w:b/>
        </w:rPr>
        <w:t>Change-point predictive surprise:</w:t>
      </w:r>
      <w:r>
        <w:t xml:space="preserve"> −log₂ P(x_t | model) under the Adams &amp; MacKay (2007) framework with hazard rate h = 1/200.</w:t>
      </w:r>
    </w:p>
    <w:p w14:paraId="3AEE3249" w14:textId="77777777" w:rsidR="005228DC" w:rsidRDefault="00000000">
      <w:pPr>
        <w:pStyle w:val="Heading2"/>
      </w:pPr>
      <w:r>
        <w:rPr>
          <w:rFonts w:ascii="Times New Roman" w:hAnsi="Times New Roman"/>
          <w:color w:val="000000"/>
        </w:rPr>
        <w:t>2.4–2.5 Feature Extraction and Encoding Analysis</w:t>
      </w:r>
    </w:p>
    <w:p w14:paraId="5F0BF33C" w14:textId="77777777" w:rsidR="005228DC" w:rsidRDefault="00000000">
      <w:pPr>
        <w:ind w:firstLine="720"/>
      </w:pPr>
      <w:r>
        <w:t>Mean amplitude was extracted in the MMN window (100–250 ms, fronto-central ROI) and P3b window (250–500 ms, parietal ROI). Linear mixed-effects models were fit with each surprise model tested individually against a stimulus-class-only baseline (avoiding multicollinearity). Model comparison used AIC and likelihood ratio tests, with Holm–Bonferroni correction across 4 comparisons per ERP window. Variance inflation factors (VIF) were computed. Time-resolved regression used cluster-based permutation tests (5000 permutations).</w:t>
      </w:r>
    </w:p>
    <w:p w14:paraId="687F2108" w14:textId="77777777" w:rsidR="005228DC" w:rsidRDefault="00000000">
      <w:pPr>
        <w:pStyle w:val="Heading2"/>
      </w:pPr>
      <w:r>
        <w:rPr>
          <w:rFonts w:ascii="Times New Roman" w:hAnsi="Times New Roman"/>
          <w:color w:val="000000"/>
        </w:rPr>
        <w:t>2.6 Decoding Analysis</w:t>
      </w:r>
    </w:p>
    <w:p w14:paraId="702320BF" w14:textId="77777777" w:rsidR="005228DC" w:rsidRDefault="00000000">
      <w:pPr>
        <w:ind w:firstLine="720"/>
      </w:pPr>
      <w:r>
        <w:t>Binary classification (standard vs. deviant) used L2-regularized logistic regression. Cross-subject leave-5-out CV was the primary evaluation. Surprise regressors were residualized against stimulus type to prevent label leakage. Metrics: ROC-AUC, PR-AUC, balanced accuracy.</w:t>
      </w:r>
    </w:p>
    <w:p w14:paraId="0EAC2E5C" w14:textId="77777777" w:rsidR="005228DC" w:rsidRDefault="00000000">
      <w:pPr>
        <w:pStyle w:val="Heading2"/>
      </w:pPr>
      <w:r>
        <w:rPr>
          <w:rFonts w:ascii="Times New Roman" w:hAnsi="Times New Roman"/>
          <w:color w:val="000000"/>
        </w:rPr>
        <w:t>2.7 Power Analysis</w:t>
      </w:r>
    </w:p>
    <w:p w14:paraId="7E7B3358" w14:textId="77777777" w:rsidR="005228DC" w:rsidRDefault="00000000">
      <w:pPr>
        <w:ind w:firstLine="720"/>
      </w:pPr>
      <w:r>
        <w:t>Simulation-based power analysis (1000 simulations, N = 39, ~900 trials/subject) confirmed &gt;99% power to detect single-trial surprise–ERP correlations of r ≥ 0.10 at α = 0.05 in per-subject analyses. However, this addresses within-subject detection, not between-model discrimination, which depends on the difference in explained variance between models.</w:t>
      </w:r>
    </w:p>
    <w:p w14:paraId="52DD5A62" w14:textId="77777777" w:rsidR="000E26CC" w:rsidRDefault="000E26CC">
      <w:pPr>
        <w:ind w:firstLine="720"/>
      </w:pPr>
    </w:p>
    <w:p w14:paraId="576DB273" w14:textId="77777777" w:rsidR="005228DC" w:rsidRDefault="00000000">
      <w:pPr>
        <w:pStyle w:val="Heading1"/>
      </w:pPr>
      <w:r>
        <w:rPr>
          <w:rFonts w:ascii="Times New Roman" w:hAnsi="Times New Roman"/>
          <w:color w:val="000000"/>
        </w:rPr>
        <w:lastRenderedPageBreak/>
        <w:t>3. Results</w:t>
      </w:r>
    </w:p>
    <w:p w14:paraId="2663CCCE" w14:textId="77777777" w:rsidR="005228DC" w:rsidRDefault="00000000">
      <w:pPr>
        <w:pStyle w:val="Heading2"/>
      </w:pPr>
      <w:r>
        <w:rPr>
          <w:rFonts w:ascii="Times New Roman" w:hAnsi="Times New Roman"/>
          <w:color w:val="000000"/>
        </w:rPr>
        <w:t>3.1 ERP Replication</w:t>
      </w:r>
    </w:p>
    <w:p w14:paraId="5DB4CB4F" w14:textId="77777777" w:rsidR="005228DC" w:rsidRDefault="00000000">
      <w:pPr>
        <w:ind w:firstLine="720"/>
      </w:pPr>
      <w:r>
        <w:t>Grand-average ERP waveforms replicated published ERP CORE results (Figure 2). The standard–deviant contrast yielded Cohen’s d = −0.16 for MMN amplitude at fronto-central sites.</w:t>
      </w:r>
    </w:p>
    <w:p w14:paraId="7BE872AF" w14:textId="77777777" w:rsidR="005228DC" w:rsidRDefault="00000000">
      <w:pPr>
        <w:jc w:val="center"/>
      </w:pPr>
      <w:r>
        <w:rPr>
          <w:noProof/>
        </w:rPr>
        <w:drawing>
          <wp:inline distT="0" distB="0" distL="0" distR="0" wp14:anchorId="7D44F0AA" wp14:editId="58D1AC0F">
            <wp:extent cx="5486400" cy="4706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rp_replication_MMN.png"/>
                    <pic:cNvPicPr/>
                  </pic:nvPicPr>
                  <pic:blipFill>
                    <a:blip r:embed="rId6"/>
                    <a:stretch>
                      <a:fillRect/>
                    </a:stretch>
                  </pic:blipFill>
                  <pic:spPr>
                    <a:xfrm>
                      <a:off x="0" y="0"/>
                      <a:ext cx="5486400" cy="4706248"/>
                    </a:xfrm>
                    <a:prstGeom prst="rect">
                      <a:avLst/>
                    </a:prstGeom>
                  </pic:spPr>
                </pic:pic>
              </a:graphicData>
            </a:graphic>
          </wp:inline>
        </w:drawing>
      </w:r>
    </w:p>
    <w:p w14:paraId="1F848D60" w14:textId="77777777" w:rsidR="005228DC" w:rsidRDefault="00000000">
      <w:pPr>
        <w:spacing w:after="240"/>
      </w:pPr>
      <w:r>
        <w:rPr>
          <w:b/>
          <w:sz w:val="20"/>
        </w:rPr>
        <w:t xml:space="preserve">Figure 2. </w:t>
      </w:r>
      <w:r>
        <w:rPr>
          <w:sz w:val="20"/>
        </w:rPr>
        <w:t>ERP replication and quality control. (A) Grand-average waveforms at fronto-central sites, standard (blue) vs. deviant (orange). (B) Parietal sites. (C) Difference waveforms (deviant − standard). (D) Epoch counts per subject after rejection.</w:t>
      </w:r>
    </w:p>
    <w:p w14:paraId="3B3061A2" w14:textId="77777777" w:rsidR="005228DC" w:rsidRDefault="00000000">
      <w:pPr>
        <w:pStyle w:val="Heading2"/>
      </w:pPr>
      <w:r>
        <w:rPr>
          <w:rFonts w:ascii="Times New Roman" w:hAnsi="Times New Roman"/>
          <w:color w:val="000000"/>
        </w:rPr>
        <w:t>3.2 Surprise Regressor Properties</w:t>
      </w:r>
    </w:p>
    <w:p w14:paraId="4A1E61D0" w14:textId="77777777" w:rsidR="005228DC" w:rsidRDefault="00000000">
      <w:r>
        <w:t>The four surprise models showed high multicollinearity (Figure 1C). VIF analysis confirmed: static Shannon (70.3), change-point (105.9), adaptive Shannon (17.3). Only Bayesian surprise (VIF = 1.1) was independent.</w:t>
      </w:r>
    </w:p>
    <w:p w14:paraId="0A9B39DD" w14:textId="77777777" w:rsidR="005228DC" w:rsidRDefault="00000000">
      <w:pPr>
        <w:jc w:val="center"/>
      </w:pPr>
      <w:r>
        <w:rPr>
          <w:noProof/>
        </w:rPr>
        <w:lastRenderedPageBreak/>
        <w:drawing>
          <wp:inline distT="0" distB="0" distL="0" distR="0" wp14:anchorId="7EC2907D" wp14:editId="092E11D6">
            <wp:extent cx="5486400" cy="4698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chematic_MMN.png"/>
                    <pic:cNvPicPr/>
                  </pic:nvPicPr>
                  <pic:blipFill>
                    <a:blip r:embed="rId7"/>
                    <a:stretch>
                      <a:fillRect/>
                    </a:stretch>
                  </pic:blipFill>
                  <pic:spPr>
                    <a:xfrm>
                      <a:off x="0" y="0"/>
                      <a:ext cx="5486400" cy="4698693"/>
                    </a:xfrm>
                    <a:prstGeom prst="rect">
                      <a:avLst/>
                    </a:prstGeom>
                  </pic:spPr>
                </pic:pic>
              </a:graphicData>
            </a:graphic>
          </wp:inline>
        </w:drawing>
      </w:r>
    </w:p>
    <w:p w14:paraId="000789D6" w14:textId="77777777" w:rsidR="005228DC" w:rsidRDefault="00000000">
      <w:pPr>
        <w:spacing w:after="240"/>
      </w:pPr>
      <w:r>
        <w:rPr>
          <w:b/>
          <w:sz w:val="20"/>
        </w:rPr>
        <w:t xml:space="preserve">Figure 1. </w:t>
      </w:r>
      <w:r>
        <w:rPr>
          <w:sz w:val="20"/>
        </w:rPr>
        <w:t>Study schematic and surprise model hierarchy. (A) Oddball paradigm. (B) Four estimators arranged by complexity. (C) Example surprise traces (z-scored). (D) Analysis pipeline.</w:t>
      </w:r>
    </w:p>
    <w:p w14:paraId="3C3F9336" w14:textId="77777777" w:rsidR="005228DC" w:rsidRDefault="00000000">
      <w:pPr>
        <w:pStyle w:val="Heading2"/>
      </w:pPr>
      <w:r>
        <w:rPr>
          <w:rFonts w:ascii="Times New Roman" w:hAnsi="Times New Roman"/>
          <w:color w:val="000000"/>
        </w:rPr>
        <w:t>3.3 Encoding Results (H1)</w:t>
      </w:r>
    </w:p>
    <w:p w14:paraId="6DFF487F" w14:textId="77777777" w:rsidR="005228DC" w:rsidRDefault="00000000">
      <w:r>
        <w:t>Table 2 presents the encoding model comparison results.</w:t>
      </w:r>
    </w:p>
    <w:tbl>
      <w:tblPr>
        <w:tblStyle w:val="LightGrid-Accent1"/>
        <w:tblW w:w="0" w:type="auto"/>
        <w:tblLook w:val="04A0" w:firstRow="1" w:lastRow="0" w:firstColumn="1" w:lastColumn="0" w:noHBand="0" w:noVBand="1"/>
      </w:tblPr>
      <w:tblGrid>
        <w:gridCol w:w="1337"/>
        <w:gridCol w:w="1337"/>
        <w:gridCol w:w="1337"/>
        <w:gridCol w:w="1337"/>
        <w:gridCol w:w="1337"/>
        <w:gridCol w:w="1337"/>
        <w:gridCol w:w="1337"/>
      </w:tblGrid>
      <w:tr w:rsidR="005228DC" w14:paraId="5545DE22" w14:textId="77777777" w:rsidTr="00522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58D1B5B" w14:textId="77777777" w:rsidR="005228DC" w:rsidRDefault="00000000">
            <w:r>
              <w:rPr>
                <w:sz w:val="18"/>
              </w:rPr>
              <w:t>Model</w:t>
            </w:r>
          </w:p>
        </w:tc>
        <w:tc>
          <w:tcPr>
            <w:tcW w:w="1337" w:type="dxa"/>
          </w:tcPr>
          <w:p w14:paraId="415F6F90"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Window</w:t>
            </w:r>
          </w:p>
        </w:tc>
        <w:tc>
          <w:tcPr>
            <w:tcW w:w="1337" w:type="dxa"/>
          </w:tcPr>
          <w:p w14:paraId="0547CABF"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ΔAIC</w:t>
            </w:r>
          </w:p>
        </w:tc>
        <w:tc>
          <w:tcPr>
            <w:tcW w:w="1337" w:type="dxa"/>
          </w:tcPr>
          <w:p w14:paraId="2E39B64A"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p (uncorr.)</w:t>
            </w:r>
          </w:p>
        </w:tc>
        <w:tc>
          <w:tcPr>
            <w:tcW w:w="1337" w:type="dxa"/>
          </w:tcPr>
          <w:p w14:paraId="7712F17F"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p (Holm)</w:t>
            </w:r>
          </w:p>
        </w:tc>
        <w:tc>
          <w:tcPr>
            <w:tcW w:w="1337" w:type="dxa"/>
          </w:tcPr>
          <w:p w14:paraId="2CC79351"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Partial R²</w:t>
            </w:r>
          </w:p>
        </w:tc>
        <w:tc>
          <w:tcPr>
            <w:tcW w:w="1337" w:type="dxa"/>
          </w:tcPr>
          <w:p w14:paraId="7F6B5FC4"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β [95% CI]</w:t>
            </w:r>
          </w:p>
        </w:tc>
      </w:tr>
      <w:tr w:rsidR="005228DC" w14:paraId="677EBD5A"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467A8D2" w14:textId="77777777" w:rsidR="005228DC" w:rsidRDefault="00000000">
            <w:r>
              <w:rPr>
                <w:sz w:val="18"/>
              </w:rPr>
              <w:t>Static Shannon</w:t>
            </w:r>
          </w:p>
        </w:tc>
        <w:tc>
          <w:tcPr>
            <w:tcW w:w="1337" w:type="dxa"/>
          </w:tcPr>
          <w:p w14:paraId="47C484C3"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MMN</w:t>
            </w:r>
          </w:p>
        </w:tc>
        <w:tc>
          <w:tcPr>
            <w:tcW w:w="1337" w:type="dxa"/>
          </w:tcPr>
          <w:p w14:paraId="59260C13"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−1.4</w:t>
            </w:r>
          </w:p>
        </w:tc>
        <w:tc>
          <w:tcPr>
            <w:tcW w:w="1337" w:type="dxa"/>
          </w:tcPr>
          <w:p w14:paraId="23AA0993"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0.066</w:t>
            </w:r>
          </w:p>
        </w:tc>
        <w:tc>
          <w:tcPr>
            <w:tcW w:w="1337" w:type="dxa"/>
          </w:tcPr>
          <w:p w14:paraId="4D3E099E"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0.131</w:t>
            </w:r>
          </w:p>
        </w:tc>
        <w:tc>
          <w:tcPr>
            <w:tcW w:w="1337" w:type="dxa"/>
          </w:tcPr>
          <w:p w14:paraId="6003DB99"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9.5×10⁻⁵</w:t>
            </w:r>
          </w:p>
        </w:tc>
        <w:tc>
          <w:tcPr>
            <w:tcW w:w="1337" w:type="dxa"/>
          </w:tcPr>
          <w:p w14:paraId="0F0C5753"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2.86 [−0.20, 5.93]</w:t>
            </w:r>
          </w:p>
        </w:tc>
      </w:tr>
      <w:tr w:rsidR="005228DC" w14:paraId="1C663D31"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4331A5D" w14:textId="77777777" w:rsidR="005228DC" w:rsidRDefault="00000000">
            <w:r>
              <w:rPr>
                <w:sz w:val="18"/>
              </w:rPr>
              <w:t>Adaptive Shannon</w:t>
            </w:r>
          </w:p>
        </w:tc>
        <w:tc>
          <w:tcPr>
            <w:tcW w:w="1337" w:type="dxa"/>
          </w:tcPr>
          <w:p w14:paraId="37870E25"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MMN</w:t>
            </w:r>
          </w:p>
        </w:tc>
        <w:tc>
          <w:tcPr>
            <w:tcW w:w="1337" w:type="dxa"/>
          </w:tcPr>
          <w:p w14:paraId="5336694C"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+1.8</w:t>
            </w:r>
          </w:p>
        </w:tc>
        <w:tc>
          <w:tcPr>
            <w:tcW w:w="1337" w:type="dxa"/>
          </w:tcPr>
          <w:p w14:paraId="697269DD"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0.674</w:t>
            </w:r>
          </w:p>
        </w:tc>
        <w:tc>
          <w:tcPr>
            <w:tcW w:w="1337" w:type="dxa"/>
          </w:tcPr>
          <w:p w14:paraId="65543AA5"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0.674</w:t>
            </w:r>
          </w:p>
        </w:tc>
        <w:tc>
          <w:tcPr>
            <w:tcW w:w="1337" w:type="dxa"/>
          </w:tcPr>
          <w:p w14:paraId="6B5AB357"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5.0×10⁻⁶</w:t>
            </w:r>
          </w:p>
        </w:tc>
        <w:tc>
          <w:tcPr>
            <w:tcW w:w="1337" w:type="dxa"/>
          </w:tcPr>
          <w:p w14:paraId="119F03EC"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−0.03 [−0.20, 0.13]</w:t>
            </w:r>
          </w:p>
        </w:tc>
      </w:tr>
      <w:tr w:rsidR="005228DC" w14:paraId="29E5460E"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9464D15" w14:textId="77777777" w:rsidR="005228DC" w:rsidRDefault="00000000">
            <w:r>
              <w:rPr>
                <w:sz w:val="18"/>
              </w:rPr>
              <w:t>Bayesian</w:t>
            </w:r>
          </w:p>
        </w:tc>
        <w:tc>
          <w:tcPr>
            <w:tcW w:w="1337" w:type="dxa"/>
          </w:tcPr>
          <w:p w14:paraId="3907CEA9"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MMN</w:t>
            </w:r>
          </w:p>
        </w:tc>
        <w:tc>
          <w:tcPr>
            <w:tcW w:w="1337" w:type="dxa"/>
          </w:tcPr>
          <w:p w14:paraId="7B8FED6D"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−3.9</w:t>
            </w:r>
          </w:p>
        </w:tc>
        <w:tc>
          <w:tcPr>
            <w:tcW w:w="1337" w:type="dxa"/>
          </w:tcPr>
          <w:p w14:paraId="5B946C1A"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0.015</w:t>
            </w:r>
          </w:p>
        </w:tc>
        <w:tc>
          <w:tcPr>
            <w:tcW w:w="1337" w:type="dxa"/>
          </w:tcPr>
          <w:p w14:paraId="680404DF"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0.062</w:t>
            </w:r>
          </w:p>
        </w:tc>
        <w:tc>
          <w:tcPr>
            <w:tcW w:w="1337" w:type="dxa"/>
          </w:tcPr>
          <w:p w14:paraId="7D3BE0A2"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1.6×10⁻⁴</w:t>
            </w:r>
          </w:p>
        </w:tc>
        <w:tc>
          <w:tcPr>
            <w:tcW w:w="1337" w:type="dxa"/>
          </w:tcPr>
          <w:p w14:paraId="7D25B031"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−0.06 [−0.11, −0.01]</w:t>
            </w:r>
          </w:p>
        </w:tc>
      </w:tr>
      <w:tr w:rsidR="005228DC" w14:paraId="34F73B3C"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BBD6379" w14:textId="77777777" w:rsidR="005228DC" w:rsidRDefault="00000000">
            <w:r>
              <w:rPr>
                <w:sz w:val="18"/>
              </w:rPr>
              <w:t>Change-point</w:t>
            </w:r>
          </w:p>
        </w:tc>
        <w:tc>
          <w:tcPr>
            <w:tcW w:w="1337" w:type="dxa"/>
          </w:tcPr>
          <w:p w14:paraId="0B9DF160"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MMN</w:t>
            </w:r>
          </w:p>
        </w:tc>
        <w:tc>
          <w:tcPr>
            <w:tcW w:w="1337" w:type="dxa"/>
          </w:tcPr>
          <w:p w14:paraId="4541B03D"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−2.3</w:t>
            </w:r>
          </w:p>
        </w:tc>
        <w:tc>
          <w:tcPr>
            <w:tcW w:w="1337" w:type="dxa"/>
          </w:tcPr>
          <w:p w14:paraId="0412EF21"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0.038</w:t>
            </w:r>
          </w:p>
        </w:tc>
        <w:tc>
          <w:tcPr>
            <w:tcW w:w="1337" w:type="dxa"/>
          </w:tcPr>
          <w:p w14:paraId="656C65BB"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0.115</w:t>
            </w:r>
          </w:p>
        </w:tc>
        <w:tc>
          <w:tcPr>
            <w:tcW w:w="1337" w:type="dxa"/>
          </w:tcPr>
          <w:p w14:paraId="0A879F3D"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1.2×10⁻⁴</w:t>
            </w:r>
          </w:p>
        </w:tc>
        <w:tc>
          <w:tcPr>
            <w:tcW w:w="1337" w:type="dxa"/>
          </w:tcPr>
          <w:p w14:paraId="0FF494A5"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−0.41 [−0.81, </w:t>
            </w:r>
            <w:r>
              <w:rPr>
                <w:sz w:val="18"/>
              </w:rPr>
              <w:lastRenderedPageBreak/>
              <w:t>−0.02]</w:t>
            </w:r>
          </w:p>
        </w:tc>
      </w:tr>
      <w:tr w:rsidR="005228DC" w14:paraId="69EFB83B"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BA8369B" w14:textId="77777777" w:rsidR="005228DC" w:rsidRDefault="00000000">
            <w:r>
              <w:rPr>
                <w:sz w:val="18"/>
              </w:rPr>
              <w:lastRenderedPageBreak/>
              <w:t>Static Shannon</w:t>
            </w:r>
          </w:p>
        </w:tc>
        <w:tc>
          <w:tcPr>
            <w:tcW w:w="1337" w:type="dxa"/>
          </w:tcPr>
          <w:p w14:paraId="4F438890"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P3b</w:t>
            </w:r>
          </w:p>
        </w:tc>
        <w:tc>
          <w:tcPr>
            <w:tcW w:w="1337" w:type="dxa"/>
          </w:tcPr>
          <w:p w14:paraId="6CDAD540"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+1.3</w:t>
            </w:r>
          </w:p>
        </w:tc>
        <w:tc>
          <w:tcPr>
            <w:tcW w:w="1337" w:type="dxa"/>
          </w:tcPr>
          <w:p w14:paraId="2233E965"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0.394</w:t>
            </w:r>
          </w:p>
        </w:tc>
        <w:tc>
          <w:tcPr>
            <w:tcW w:w="1337" w:type="dxa"/>
          </w:tcPr>
          <w:p w14:paraId="3C8D85CF"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337" w:type="dxa"/>
          </w:tcPr>
          <w:p w14:paraId="1C531FEE"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2.0×10⁻⁵</w:t>
            </w:r>
          </w:p>
        </w:tc>
        <w:tc>
          <w:tcPr>
            <w:tcW w:w="1337" w:type="dxa"/>
          </w:tcPr>
          <w:p w14:paraId="3BFCBD1C"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1.51 [−1.98, 4.99]</w:t>
            </w:r>
          </w:p>
        </w:tc>
      </w:tr>
      <w:tr w:rsidR="005228DC" w14:paraId="312BBC9E"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C7BA034" w14:textId="77777777" w:rsidR="005228DC" w:rsidRDefault="00000000">
            <w:r>
              <w:rPr>
                <w:sz w:val="18"/>
              </w:rPr>
              <w:t>Adaptive Shannon</w:t>
            </w:r>
          </w:p>
        </w:tc>
        <w:tc>
          <w:tcPr>
            <w:tcW w:w="1337" w:type="dxa"/>
          </w:tcPr>
          <w:p w14:paraId="1DBDAC88"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P3b</w:t>
            </w:r>
          </w:p>
        </w:tc>
        <w:tc>
          <w:tcPr>
            <w:tcW w:w="1337" w:type="dxa"/>
          </w:tcPr>
          <w:p w14:paraId="10909562"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+1.6</w:t>
            </w:r>
          </w:p>
        </w:tc>
        <w:tc>
          <w:tcPr>
            <w:tcW w:w="1337" w:type="dxa"/>
          </w:tcPr>
          <w:p w14:paraId="15BF7804"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0.540</w:t>
            </w:r>
          </w:p>
        </w:tc>
        <w:tc>
          <w:tcPr>
            <w:tcW w:w="1337" w:type="dxa"/>
          </w:tcPr>
          <w:p w14:paraId="6D6BF9C2"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337" w:type="dxa"/>
          </w:tcPr>
          <w:p w14:paraId="62596C2E"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1.1×10⁻⁵</w:t>
            </w:r>
          </w:p>
        </w:tc>
        <w:tc>
          <w:tcPr>
            <w:tcW w:w="1337" w:type="dxa"/>
          </w:tcPr>
          <w:p w14:paraId="1B97FF59"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0.06 [−0.13, 0.24]</w:t>
            </w:r>
          </w:p>
        </w:tc>
      </w:tr>
      <w:tr w:rsidR="005228DC" w14:paraId="6DD981F2"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5EFD795" w14:textId="77777777" w:rsidR="005228DC" w:rsidRDefault="00000000">
            <w:r>
              <w:rPr>
                <w:sz w:val="18"/>
              </w:rPr>
              <w:t>Bayesian</w:t>
            </w:r>
          </w:p>
        </w:tc>
        <w:tc>
          <w:tcPr>
            <w:tcW w:w="1337" w:type="dxa"/>
          </w:tcPr>
          <w:p w14:paraId="0D2E5556"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P3b</w:t>
            </w:r>
          </w:p>
        </w:tc>
        <w:tc>
          <w:tcPr>
            <w:tcW w:w="1337" w:type="dxa"/>
          </w:tcPr>
          <w:p w14:paraId="458C6E6D"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1337" w:type="dxa"/>
          </w:tcPr>
          <w:p w14:paraId="37752F8E"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0.679</w:t>
            </w:r>
          </w:p>
        </w:tc>
        <w:tc>
          <w:tcPr>
            <w:tcW w:w="1337" w:type="dxa"/>
          </w:tcPr>
          <w:p w14:paraId="25AE19E7"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337" w:type="dxa"/>
          </w:tcPr>
          <w:p w14:paraId="2324790E"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4.4×10⁻⁶</w:t>
            </w:r>
          </w:p>
        </w:tc>
        <w:tc>
          <w:tcPr>
            <w:tcW w:w="1337" w:type="dxa"/>
          </w:tcPr>
          <w:p w14:paraId="4944C229"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−0.01 [−0.07, 0.05]</w:t>
            </w:r>
          </w:p>
        </w:tc>
      </w:tr>
      <w:tr w:rsidR="005228DC" w14:paraId="70794828"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C5B2610" w14:textId="77777777" w:rsidR="005228DC" w:rsidRDefault="00000000">
            <w:r>
              <w:rPr>
                <w:sz w:val="18"/>
              </w:rPr>
              <w:t>Change-point</w:t>
            </w:r>
          </w:p>
        </w:tc>
        <w:tc>
          <w:tcPr>
            <w:tcW w:w="1337" w:type="dxa"/>
          </w:tcPr>
          <w:p w14:paraId="5FD0051C"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P3b</w:t>
            </w:r>
          </w:p>
        </w:tc>
        <w:tc>
          <w:tcPr>
            <w:tcW w:w="1337" w:type="dxa"/>
          </w:tcPr>
          <w:p w14:paraId="4A60E015"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+1.7</w:t>
            </w:r>
          </w:p>
        </w:tc>
        <w:tc>
          <w:tcPr>
            <w:tcW w:w="1337" w:type="dxa"/>
          </w:tcPr>
          <w:p w14:paraId="01816877"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0.557</w:t>
            </w:r>
          </w:p>
        </w:tc>
        <w:tc>
          <w:tcPr>
            <w:tcW w:w="1337" w:type="dxa"/>
          </w:tcPr>
          <w:p w14:paraId="5C9140BF"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337" w:type="dxa"/>
          </w:tcPr>
          <w:p w14:paraId="4B6DBCF9"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9.7×10⁻⁶</w:t>
            </w:r>
          </w:p>
        </w:tc>
        <w:tc>
          <w:tcPr>
            <w:tcW w:w="1337" w:type="dxa"/>
          </w:tcPr>
          <w:p w14:paraId="4BF77CBD"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−0.13 [−0.58, 0.31]</w:t>
            </w:r>
          </w:p>
        </w:tc>
      </w:tr>
    </w:tbl>
    <w:p w14:paraId="77D21D24" w14:textId="77777777" w:rsidR="005228DC" w:rsidRDefault="005228DC"/>
    <w:p w14:paraId="52B4DC99" w14:textId="77777777" w:rsidR="005228DC" w:rsidRDefault="00000000">
      <w:r>
        <w:rPr>
          <w:b/>
        </w:rPr>
        <w:t>Table 2.</w:t>
      </w:r>
      <w:r>
        <w:t xml:space="preserve"> Encoding model comparison (MMN paradigm). Each model tested individually against stimulus-class baseline. Holm–Bonferroni correction applied within each ERP window (4 comparisons).</w:t>
      </w:r>
    </w:p>
    <w:p w14:paraId="7F7FB06C" w14:textId="77777777" w:rsidR="005228DC" w:rsidRDefault="00000000">
      <w:pPr>
        <w:ind w:firstLine="720"/>
      </w:pPr>
      <w:r>
        <w:rPr>
          <w:b/>
        </w:rPr>
        <w:t>MMN paradigm.</w:t>
      </w:r>
      <w:r>
        <w:t xml:space="preserve"> Bayesian surprise showed the strongest association with MMN amplitude (ΔAIC = −3.9, uncorrected p = 0.015), but did not survive Holm–Bonferroni correction (p_corrected = 0.062). Change-point predictive surprise was marginal before correction (p = 0.038, p_corrected = 0.115). All partial R² values were very small (&lt;0.02%), indicating that surprise explains a negligible fraction of single-trial variance beyond stimulus class.</w:t>
      </w:r>
    </w:p>
    <w:p w14:paraId="60A00D14" w14:textId="77777777" w:rsidR="005228DC" w:rsidRDefault="00000000">
      <w:pPr>
        <w:ind w:firstLine="720"/>
      </w:pPr>
      <w:r>
        <w:rPr>
          <w:b/>
        </w:rPr>
        <w:t>P3 paradigm (replication).</w:t>
      </w:r>
      <w:r>
        <w:t xml:space="preserve"> In the P3b window, change-point surprise (uncorrected p = 0.017, p_corrected = 0.069) and Bayesian surprise (uncorrected p = 0.044, p_corrected = 0.131) showed trends but did not survive correction.</w:t>
      </w:r>
    </w:p>
    <w:p w14:paraId="77229D0B" w14:textId="77777777" w:rsidR="005228DC" w:rsidRDefault="00000000">
      <w:pPr>
        <w:ind w:firstLine="720"/>
      </w:pPr>
      <w:r>
        <w:rPr>
          <w:b/>
        </w:rPr>
        <w:t>Cross-validated prediction.</w:t>
      </w:r>
      <w:r>
        <w:t xml:space="preserve"> Leave-one-subject-out cross-validation showed no significant improvement in out-of-sample prediction for any surprise model over the baseline (all p &gt; 0.64), confirming the minimal explanatory benefit.</w:t>
      </w:r>
    </w:p>
    <w:p w14:paraId="05EF949A" w14:textId="77777777" w:rsidR="005228DC" w:rsidRDefault="00000000">
      <w:r>
        <w:rPr>
          <w:b/>
        </w:rPr>
        <w:t>Time-resolved analysis.</w:t>
      </w:r>
      <w:r>
        <w:t xml:space="preserve"> All models showed significant clusters in the 100–230 ms window at fronto-central sites (cluster p &lt; 0.001, Figure 3). These clusters reflect the shared sensitivity to deviant-evoked MMN responses.</w:t>
      </w:r>
    </w:p>
    <w:p w14:paraId="5324971C" w14:textId="77777777" w:rsidR="005228DC" w:rsidRDefault="00000000">
      <w:pPr>
        <w:jc w:val="center"/>
      </w:pPr>
      <w:r>
        <w:rPr>
          <w:noProof/>
        </w:rPr>
        <w:lastRenderedPageBreak/>
        <w:drawing>
          <wp:inline distT="0" distB="0" distL="0" distR="0" wp14:anchorId="476EECF9" wp14:editId="0585E913">
            <wp:extent cx="5486400" cy="4905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ncoding_MMN.png"/>
                    <pic:cNvPicPr/>
                  </pic:nvPicPr>
                  <pic:blipFill>
                    <a:blip r:embed="rId8"/>
                    <a:stretch>
                      <a:fillRect/>
                    </a:stretch>
                  </pic:blipFill>
                  <pic:spPr>
                    <a:xfrm>
                      <a:off x="0" y="0"/>
                      <a:ext cx="5486400" cy="4905829"/>
                    </a:xfrm>
                    <a:prstGeom prst="rect">
                      <a:avLst/>
                    </a:prstGeom>
                  </pic:spPr>
                </pic:pic>
              </a:graphicData>
            </a:graphic>
          </wp:inline>
        </w:drawing>
      </w:r>
    </w:p>
    <w:p w14:paraId="3DC5EBBB" w14:textId="77777777" w:rsidR="005228DC" w:rsidRDefault="00000000">
      <w:pPr>
        <w:spacing w:after="240"/>
      </w:pPr>
      <w:r>
        <w:rPr>
          <w:b/>
          <w:sz w:val="20"/>
        </w:rPr>
        <w:t xml:space="preserve">Figure 3. </w:t>
      </w:r>
      <w:r>
        <w:rPr>
          <w:sz w:val="20"/>
        </w:rPr>
        <w:t>Surprise encoding results. (A) Time-resolved regression coefficients at fronto-central sites. (B–C) ΔAIC in MMN and P3b windows. (D) Variance explained.</w:t>
      </w:r>
    </w:p>
    <w:p w14:paraId="6CF1479D" w14:textId="77777777" w:rsidR="005228DC" w:rsidRDefault="00000000">
      <w:pPr>
        <w:pStyle w:val="Heading2"/>
      </w:pPr>
      <w:r>
        <w:rPr>
          <w:rFonts w:ascii="Times New Roman" w:hAnsi="Times New Roman"/>
          <w:color w:val="000000"/>
        </w:rPr>
        <w:t>3.4 Decoding Results (H2)</w:t>
      </w:r>
    </w:p>
    <w:p w14:paraId="7F553456" w14:textId="77777777" w:rsidR="005228DC" w:rsidRDefault="00000000">
      <w:r>
        <w:t>Table 3 presents the decoding benchmark results.</w:t>
      </w:r>
    </w:p>
    <w:tbl>
      <w:tblPr>
        <w:tblStyle w:val="LightGrid-Accent1"/>
        <w:tblW w:w="0" w:type="auto"/>
        <w:tblLook w:val="04A0" w:firstRow="1" w:lastRow="0" w:firstColumn="1" w:lastColumn="0" w:noHBand="0" w:noVBand="1"/>
      </w:tblPr>
      <w:tblGrid>
        <w:gridCol w:w="1872"/>
        <w:gridCol w:w="1872"/>
        <w:gridCol w:w="1872"/>
        <w:gridCol w:w="1872"/>
        <w:gridCol w:w="1872"/>
      </w:tblGrid>
      <w:tr w:rsidR="005228DC" w14:paraId="45216C5B" w14:textId="77777777" w:rsidTr="00522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C5D370" w14:textId="77777777" w:rsidR="005228DC" w:rsidRDefault="00000000">
            <w:r>
              <w:rPr>
                <w:sz w:val="18"/>
              </w:rPr>
              <w:t>Feature Set</w:t>
            </w:r>
          </w:p>
        </w:tc>
        <w:tc>
          <w:tcPr>
            <w:tcW w:w="1872" w:type="dxa"/>
          </w:tcPr>
          <w:p w14:paraId="7A4D1D77"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Evaluation</w:t>
            </w:r>
          </w:p>
        </w:tc>
        <w:tc>
          <w:tcPr>
            <w:tcW w:w="1872" w:type="dxa"/>
          </w:tcPr>
          <w:p w14:paraId="7B705DC2"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ROC-AUC</w:t>
            </w:r>
          </w:p>
        </w:tc>
        <w:tc>
          <w:tcPr>
            <w:tcW w:w="1872" w:type="dxa"/>
          </w:tcPr>
          <w:p w14:paraId="20C9D217"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PR-AUC</w:t>
            </w:r>
          </w:p>
        </w:tc>
        <w:tc>
          <w:tcPr>
            <w:tcW w:w="1872" w:type="dxa"/>
          </w:tcPr>
          <w:p w14:paraId="798D8482" w14:textId="77777777" w:rsidR="005228DC" w:rsidRDefault="00000000">
            <w:pPr>
              <w:cnfStyle w:val="100000000000" w:firstRow="1" w:lastRow="0" w:firstColumn="0" w:lastColumn="0" w:oddVBand="0" w:evenVBand="0" w:oddHBand="0" w:evenHBand="0" w:firstRowFirstColumn="0" w:firstRowLastColumn="0" w:lastRowFirstColumn="0" w:lastRowLastColumn="0"/>
            </w:pPr>
            <w:r>
              <w:rPr>
                <w:sz w:val="18"/>
              </w:rPr>
              <w:t>Balanced Acc.</w:t>
            </w:r>
          </w:p>
        </w:tc>
      </w:tr>
      <w:tr w:rsidR="005228DC" w14:paraId="5AB9ED8B"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46C5F0" w14:textId="77777777" w:rsidR="005228DC" w:rsidRDefault="00000000">
            <w:r>
              <w:rPr>
                <w:sz w:val="18"/>
              </w:rPr>
              <w:t>ERP-only</w:t>
            </w:r>
          </w:p>
        </w:tc>
        <w:tc>
          <w:tcPr>
            <w:tcW w:w="1872" w:type="dxa"/>
          </w:tcPr>
          <w:p w14:paraId="6C244AB9"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Cross-subject</w:t>
            </w:r>
          </w:p>
        </w:tc>
        <w:tc>
          <w:tcPr>
            <w:tcW w:w="1872" w:type="dxa"/>
          </w:tcPr>
          <w:p w14:paraId="4753806F"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0.543</w:t>
            </w:r>
          </w:p>
        </w:tc>
        <w:tc>
          <w:tcPr>
            <w:tcW w:w="1872" w:type="dxa"/>
          </w:tcPr>
          <w:p w14:paraId="69730B72"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0.226</w:t>
            </w:r>
          </w:p>
        </w:tc>
        <w:tc>
          <w:tcPr>
            <w:tcW w:w="1872" w:type="dxa"/>
          </w:tcPr>
          <w:p w14:paraId="7D8B0E8B"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0.531</w:t>
            </w:r>
          </w:p>
        </w:tc>
      </w:tr>
      <w:tr w:rsidR="005228DC" w14:paraId="37262C94"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9DAE1DD" w14:textId="77777777" w:rsidR="005228DC" w:rsidRDefault="00000000">
            <w:r>
              <w:rPr>
                <w:sz w:val="18"/>
              </w:rPr>
              <w:t>ERP+surprise (resid.)</w:t>
            </w:r>
          </w:p>
        </w:tc>
        <w:tc>
          <w:tcPr>
            <w:tcW w:w="1872" w:type="dxa"/>
          </w:tcPr>
          <w:p w14:paraId="4D179222"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Cross-subject</w:t>
            </w:r>
          </w:p>
        </w:tc>
        <w:tc>
          <w:tcPr>
            <w:tcW w:w="1872" w:type="dxa"/>
          </w:tcPr>
          <w:p w14:paraId="1C4DFAB2"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0.450</w:t>
            </w:r>
          </w:p>
        </w:tc>
        <w:tc>
          <w:tcPr>
            <w:tcW w:w="1872" w:type="dxa"/>
          </w:tcPr>
          <w:p w14:paraId="7697380E"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0.186</w:t>
            </w:r>
          </w:p>
        </w:tc>
        <w:tc>
          <w:tcPr>
            <w:tcW w:w="1872" w:type="dxa"/>
          </w:tcPr>
          <w:p w14:paraId="224E7689"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0.474</w:t>
            </w:r>
          </w:p>
        </w:tc>
      </w:tr>
      <w:tr w:rsidR="005228DC" w14:paraId="5FB3573F" w14:textId="77777777" w:rsidTr="00522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E88F631" w14:textId="77777777" w:rsidR="005228DC" w:rsidRDefault="00000000">
            <w:r>
              <w:rPr>
                <w:sz w:val="18"/>
              </w:rPr>
              <w:t>ERP-only</w:t>
            </w:r>
          </w:p>
        </w:tc>
        <w:tc>
          <w:tcPr>
            <w:tcW w:w="1872" w:type="dxa"/>
          </w:tcPr>
          <w:p w14:paraId="77599A20"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Within-subject</w:t>
            </w:r>
          </w:p>
        </w:tc>
        <w:tc>
          <w:tcPr>
            <w:tcW w:w="1872" w:type="dxa"/>
          </w:tcPr>
          <w:p w14:paraId="437AC625"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0.534 ± 0.041</w:t>
            </w:r>
          </w:p>
        </w:tc>
        <w:tc>
          <w:tcPr>
            <w:tcW w:w="1872" w:type="dxa"/>
          </w:tcPr>
          <w:p w14:paraId="58105155"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872" w:type="dxa"/>
          </w:tcPr>
          <w:p w14:paraId="050D0632" w14:textId="77777777" w:rsidR="005228D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228DC" w14:paraId="4C78DE2A" w14:textId="77777777" w:rsidTr="005228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E26F6BB" w14:textId="77777777" w:rsidR="005228DC" w:rsidRDefault="00000000">
            <w:r>
              <w:rPr>
                <w:sz w:val="18"/>
              </w:rPr>
              <w:t>ERP+surprise (resid.)</w:t>
            </w:r>
          </w:p>
        </w:tc>
        <w:tc>
          <w:tcPr>
            <w:tcW w:w="1872" w:type="dxa"/>
          </w:tcPr>
          <w:p w14:paraId="37D464E3"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Within-subject</w:t>
            </w:r>
          </w:p>
        </w:tc>
        <w:tc>
          <w:tcPr>
            <w:tcW w:w="1872" w:type="dxa"/>
          </w:tcPr>
          <w:p w14:paraId="6A2F232B"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1.000 ± 0.000*</w:t>
            </w:r>
          </w:p>
        </w:tc>
        <w:tc>
          <w:tcPr>
            <w:tcW w:w="1872" w:type="dxa"/>
          </w:tcPr>
          <w:p w14:paraId="2D650622"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872" w:type="dxa"/>
          </w:tcPr>
          <w:p w14:paraId="17A91434" w14:textId="77777777" w:rsidR="005228DC"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53EFD1D7" w14:textId="77777777" w:rsidR="005228DC" w:rsidRDefault="005228DC"/>
    <w:p w14:paraId="3252041E" w14:textId="77777777" w:rsidR="005228DC" w:rsidRDefault="00000000">
      <w:r>
        <w:rPr>
          <w:b/>
        </w:rPr>
        <w:t>Table 3.</w:t>
      </w:r>
      <w:r>
        <w:t xml:space="preserve"> Decoding results (MMN paradigm). *Within-subject AUC = 1.0 reflects label leakage (see Section 4.3).</w:t>
      </w:r>
    </w:p>
    <w:p w14:paraId="0F74B2AA" w14:textId="77777777" w:rsidR="005228DC" w:rsidRDefault="00000000">
      <w:r>
        <w:t xml:space="preserve">Cross-subject decoding was modest (AUC = 0.543 for ERP-only). Adding residualized surprise features decreased performance (ΔAUC = −0.093, p = 0.050). </w:t>
      </w:r>
      <w:r>
        <w:rPr>
          <w:b/>
        </w:rPr>
        <w:t>H2 is not supported.</w:t>
      </w:r>
    </w:p>
    <w:p w14:paraId="0AF6ED57" w14:textId="77777777" w:rsidR="005228DC" w:rsidRDefault="00000000">
      <w:pPr>
        <w:jc w:val="center"/>
      </w:pPr>
      <w:r>
        <w:rPr>
          <w:noProof/>
        </w:rPr>
        <w:drawing>
          <wp:inline distT="0" distB="0" distL="0" distR="0" wp14:anchorId="7D4B1E7E" wp14:editId="45DDC880">
            <wp:extent cx="5486400" cy="2679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coding_MMN.png"/>
                    <pic:cNvPicPr/>
                  </pic:nvPicPr>
                  <pic:blipFill>
                    <a:blip r:embed="rId9"/>
                    <a:stretch>
                      <a:fillRect/>
                    </a:stretch>
                  </pic:blipFill>
                  <pic:spPr>
                    <a:xfrm>
                      <a:off x="0" y="0"/>
                      <a:ext cx="5486400" cy="2679192"/>
                    </a:xfrm>
                    <a:prstGeom prst="rect">
                      <a:avLst/>
                    </a:prstGeom>
                  </pic:spPr>
                </pic:pic>
              </a:graphicData>
            </a:graphic>
          </wp:inline>
        </w:drawing>
      </w:r>
    </w:p>
    <w:p w14:paraId="3DFBE451" w14:textId="77777777" w:rsidR="005228DC" w:rsidRDefault="00000000">
      <w:pPr>
        <w:spacing w:after="240"/>
      </w:pPr>
      <w:r>
        <w:rPr>
          <w:b/>
          <w:sz w:val="20"/>
        </w:rPr>
        <w:t xml:space="preserve">Figure 4. </w:t>
      </w:r>
      <w:r>
        <w:rPr>
          <w:sz w:val="20"/>
        </w:rPr>
        <w:t>Decoding benchmark. (A) ROC curves, cross-subject. (B) Feature ablation. (C) Cross- vs. within-subject comparison.</w:t>
      </w:r>
    </w:p>
    <w:p w14:paraId="0372DCBC" w14:textId="77777777" w:rsidR="005228DC" w:rsidRDefault="00000000">
      <w:pPr>
        <w:pStyle w:val="Heading2"/>
      </w:pPr>
      <w:r>
        <w:rPr>
          <w:rFonts w:ascii="Times New Roman" w:hAnsi="Times New Roman"/>
          <w:color w:val="000000"/>
        </w:rPr>
        <w:t>3.5 Sensitivity Analyses</w:t>
      </w:r>
    </w:p>
    <w:p w14:paraId="688ABB96" w14:textId="77777777" w:rsidR="005228DC" w:rsidRDefault="00000000">
      <w:pPr>
        <w:ind w:firstLine="720"/>
      </w:pPr>
      <w:r>
        <w:t>Results were robust across adaptive Shannon window sizes (w = 10, 20, 50) and change-point hazard rates (h ∈ {1/50, 1/100, 1/200, 1/500}). Change-point regressors remained highly correlated with static Shannon (r &gt; 0.97) across all hazard rates.</w:t>
      </w:r>
    </w:p>
    <w:p w14:paraId="2A144259" w14:textId="77777777" w:rsidR="000E26CC" w:rsidRDefault="000E26CC">
      <w:pPr>
        <w:ind w:firstLine="720"/>
      </w:pPr>
    </w:p>
    <w:p w14:paraId="10398F9D" w14:textId="77777777" w:rsidR="000E26CC" w:rsidRDefault="000E26CC">
      <w:pPr>
        <w:ind w:firstLine="720"/>
      </w:pPr>
    </w:p>
    <w:p w14:paraId="43CF5617" w14:textId="77777777" w:rsidR="000E26CC" w:rsidRDefault="000E26CC">
      <w:pPr>
        <w:ind w:firstLine="720"/>
      </w:pPr>
    </w:p>
    <w:p w14:paraId="2D4B588A" w14:textId="77777777" w:rsidR="005228DC" w:rsidRDefault="00000000">
      <w:pPr>
        <w:pStyle w:val="Heading1"/>
      </w:pPr>
      <w:r>
        <w:rPr>
          <w:rFonts w:ascii="Times New Roman" w:hAnsi="Times New Roman"/>
          <w:color w:val="000000"/>
        </w:rPr>
        <w:lastRenderedPageBreak/>
        <w:t>4. Discussion</w:t>
      </w:r>
    </w:p>
    <w:p w14:paraId="3E9060F4" w14:textId="77777777" w:rsidR="005228DC" w:rsidRDefault="00000000">
      <w:pPr>
        <w:pStyle w:val="Heading2"/>
      </w:pPr>
      <w:r>
        <w:rPr>
          <w:rFonts w:ascii="Times New Roman" w:hAnsi="Times New Roman"/>
          <w:color w:val="000000"/>
        </w:rPr>
        <w:t>4.1 Key Findings</w:t>
      </w:r>
    </w:p>
    <w:p w14:paraId="43E43AAB" w14:textId="77777777" w:rsidR="005228DC" w:rsidRDefault="00000000">
      <w:pPr>
        <w:ind w:firstLine="720"/>
      </w:pPr>
      <w:r>
        <w:t>This study provides the first systematic comparison of four surprise formulations as predictors of single-trial EEG prediction-error responses. Bayesian surprise showed the strongest trend toward predicting MMN amplitude, but this did not survive correction for multiple comparisons. No model significantly improved out-of-sample prediction or cross-subject decoding. These results suggest that while computational models of surprise capture meaningful aspects of neural prediction error, the effect sizes in stationary oddball paradigms are too small to reliably distinguish between formulations.</w:t>
      </w:r>
    </w:p>
    <w:p w14:paraId="25AB9DA5" w14:textId="77777777" w:rsidR="005228DC" w:rsidRDefault="00000000">
      <w:pPr>
        <w:pStyle w:val="Heading2"/>
      </w:pPr>
      <w:r>
        <w:rPr>
          <w:rFonts w:ascii="Times New Roman" w:hAnsi="Times New Roman"/>
          <w:color w:val="000000"/>
        </w:rPr>
        <w:t>4.2 Relation to Prior Work</w:t>
      </w:r>
    </w:p>
    <w:p w14:paraId="43CB8F85" w14:textId="77777777" w:rsidR="005228DC" w:rsidRDefault="00000000">
      <w:pPr>
        <w:ind w:firstLine="720"/>
      </w:pPr>
      <w:r>
        <w:t>Our finding that Bayesian surprise shows the strongest (though non-significant after correction) association with MMN amplitude is directionally consistent with Mars et al. (2008) and Ostwald et al. (2012). The small effect sizes we observe (partial R² &lt; 0.02%) are consistent with the inherent difficulty of single-trial EEG analysis.</w:t>
      </w:r>
    </w:p>
    <w:p w14:paraId="734DAD37" w14:textId="77777777" w:rsidR="005228DC" w:rsidRDefault="00000000">
      <w:pPr>
        <w:pStyle w:val="Heading2"/>
      </w:pPr>
      <w:r>
        <w:rPr>
          <w:rFonts w:ascii="Times New Roman" w:hAnsi="Times New Roman"/>
          <w:color w:val="000000"/>
        </w:rPr>
        <w:t>4.3 Methodological Contributions</w:t>
      </w:r>
    </w:p>
    <w:p w14:paraId="05FB1743" w14:textId="77777777" w:rsidR="005228DC" w:rsidRDefault="00000000">
      <w:pPr>
        <w:ind w:firstLine="720"/>
      </w:pPr>
      <w:r>
        <w:rPr>
          <w:b/>
        </w:rPr>
        <w:t>Multicollinearity.</w:t>
      </w:r>
      <w:r>
        <w:t xml:space="preserve"> VIF values exceeding 70 for Shannon and change-point regressors demonstrate that stationary oddball paradigms cannot differentiate frequency-based from change-detection models. Only Bayesian surprise provides an independent signal.</w:t>
      </w:r>
    </w:p>
    <w:p w14:paraId="0CB8179F" w14:textId="77777777" w:rsidR="005228DC" w:rsidRDefault="00000000">
      <w:pPr>
        <w:ind w:firstLine="720"/>
      </w:pPr>
      <w:r>
        <w:rPr>
          <w:b/>
        </w:rPr>
        <w:t>Label leakage.</w:t>
      </w:r>
      <w:r>
        <w:t xml:space="preserve"> We document that surprise regressors produce trivially perfect within-subject classification (AUC = 1.0), even after residualization, because they are deterministic functions of the stimulus sequence. This confound has not been previously reported and has implications for future decoding studies using computational regressors.</w:t>
      </w:r>
    </w:p>
    <w:p w14:paraId="0D6EDDAC" w14:textId="77777777" w:rsidR="005228DC" w:rsidRDefault="00000000">
      <w:pPr>
        <w:ind w:firstLine="720"/>
      </w:pPr>
      <w:r>
        <w:rPr>
          <w:b/>
        </w:rPr>
        <w:t>Multiple comparisons.</w:t>
      </w:r>
      <w:r>
        <w:t xml:space="preserve"> The shift from p = 0.015 (uncorrected) to p = 0.062 (Holm-corrected) for Bayesian surprise highlights the importance of correction when testing multiple model families. We report both values for transparency.</w:t>
      </w:r>
    </w:p>
    <w:p w14:paraId="713AB7B8" w14:textId="77777777" w:rsidR="005228DC" w:rsidRDefault="00000000">
      <w:pPr>
        <w:pStyle w:val="Heading2"/>
      </w:pPr>
      <w:r>
        <w:rPr>
          <w:rFonts w:ascii="Times New Roman" w:hAnsi="Times New Roman"/>
          <w:color w:val="000000"/>
        </w:rPr>
        <w:t>4.4 Limitations</w:t>
      </w:r>
    </w:p>
    <w:p w14:paraId="74A6FC6F" w14:textId="77777777" w:rsidR="005228DC" w:rsidRDefault="00000000">
      <w:pPr>
        <w:ind w:firstLine="720"/>
      </w:pPr>
      <w:r>
        <w:t xml:space="preserve">First, the stationary oddball paradigm limits model differentiation. Roving oddball or volatile-environment paradigms would better test change-point and adaptive models. Second, </w:t>
      </w:r>
      <w:r>
        <w:lastRenderedPageBreak/>
        <w:t>amplitude-based artifact rejection was used instead of autoreject due to missing electrode positions in the ERP CORE files. Third, partial R² values were extremely small, suggesting that trial-to-trial surprise modulates only a tiny fraction of EEG variability. Fourth, the cross-validated prediction analysis showed no benefit for any surprise model, suggesting that the encoding-model improvements reflect overfitting to in-sample noise rather than genuine predictive power.</w:t>
      </w:r>
    </w:p>
    <w:p w14:paraId="452F326C" w14:textId="77777777" w:rsidR="005228DC" w:rsidRDefault="00000000">
      <w:pPr>
        <w:pStyle w:val="Heading2"/>
      </w:pPr>
      <w:r>
        <w:rPr>
          <w:rFonts w:ascii="Times New Roman" w:hAnsi="Times New Roman"/>
          <w:color w:val="000000"/>
        </w:rPr>
        <w:t>4.5 Future Directions</w:t>
      </w:r>
    </w:p>
    <w:p w14:paraId="3EAE3C11" w14:textId="77777777" w:rsidR="005228DC" w:rsidRDefault="00000000">
      <w:pPr>
        <w:ind w:firstLine="720"/>
      </w:pPr>
      <w:r>
        <w:t>Three extensions are warranted: (1) roving oddball paradigms with genuine non-stationarity; (2) naturalistic stimuli where surprise varies more continuously; (3) source-level or intracranial recordings to improve signal-to-noise.</w:t>
      </w:r>
    </w:p>
    <w:p w14:paraId="5670A7BF" w14:textId="77777777" w:rsidR="000E26CC" w:rsidRDefault="000E26CC">
      <w:pPr>
        <w:pStyle w:val="Heading1"/>
        <w:rPr>
          <w:rFonts w:ascii="Times New Roman" w:hAnsi="Times New Roman"/>
          <w:color w:val="000000"/>
        </w:rPr>
      </w:pPr>
    </w:p>
    <w:p w14:paraId="31AAFFFF" w14:textId="77777777" w:rsidR="000E26CC" w:rsidRDefault="000E26CC">
      <w:pPr>
        <w:pStyle w:val="Heading1"/>
        <w:rPr>
          <w:rFonts w:ascii="Times New Roman" w:hAnsi="Times New Roman"/>
          <w:color w:val="000000"/>
        </w:rPr>
      </w:pPr>
    </w:p>
    <w:p w14:paraId="0F85A183" w14:textId="77777777" w:rsidR="000E26CC" w:rsidRDefault="000E26CC">
      <w:pPr>
        <w:pStyle w:val="Heading1"/>
        <w:rPr>
          <w:rFonts w:ascii="Times New Roman" w:hAnsi="Times New Roman"/>
          <w:color w:val="000000"/>
        </w:rPr>
      </w:pPr>
    </w:p>
    <w:p w14:paraId="3B9BCC2C" w14:textId="77777777" w:rsidR="000E26CC" w:rsidRDefault="000E26CC">
      <w:pPr>
        <w:pStyle w:val="Heading1"/>
        <w:rPr>
          <w:rFonts w:ascii="Times New Roman" w:hAnsi="Times New Roman"/>
          <w:color w:val="000000"/>
        </w:rPr>
      </w:pPr>
    </w:p>
    <w:p w14:paraId="5AF1A953" w14:textId="77777777" w:rsidR="000E26CC" w:rsidRDefault="000E26CC">
      <w:pPr>
        <w:pStyle w:val="Heading1"/>
        <w:rPr>
          <w:rFonts w:ascii="Times New Roman" w:hAnsi="Times New Roman"/>
          <w:color w:val="000000"/>
        </w:rPr>
      </w:pPr>
    </w:p>
    <w:p w14:paraId="1CA9D8B9" w14:textId="77777777" w:rsidR="000E26CC" w:rsidRDefault="000E26CC">
      <w:pPr>
        <w:pStyle w:val="Heading1"/>
        <w:rPr>
          <w:rFonts w:ascii="Times New Roman" w:hAnsi="Times New Roman"/>
          <w:color w:val="000000"/>
        </w:rPr>
      </w:pPr>
    </w:p>
    <w:p w14:paraId="0A543559" w14:textId="77777777" w:rsidR="000E26CC" w:rsidRDefault="000E26CC">
      <w:pPr>
        <w:pStyle w:val="Heading1"/>
        <w:rPr>
          <w:rFonts w:ascii="Times New Roman" w:hAnsi="Times New Roman"/>
          <w:color w:val="000000"/>
        </w:rPr>
      </w:pPr>
    </w:p>
    <w:p w14:paraId="2443ECB7" w14:textId="77777777" w:rsidR="000E26CC" w:rsidRPr="000E26CC" w:rsidRDefault="000E26CC" w:rsidP="000E26CC"/>
    <w:p w14:paraId="3D43220E" w14:textId="3AEBFCF6" w:rsidR="005228DC" w:rsidRDefault="00000000">
      <w:pPr>
        <w:pStyle w:val="Heading1"/>
      </w:pPr>
      <w:r>
        <w:rPr>
          <w:rFonts w:ascii="Times New Roman" w:hAnsi="Times New Roman"/>
          <w:color w:val="000000"/>
        </w:rPr>
        <w:lastRenderedPageBreak/>
        <w:t>5. Conclusion</w:t>
      </w:r>
    </w:p>
    <w:p w14:paraId="537E50AC" w14:textId="77777777" w:rsidR="005228DC" w:rsidRDefault="00000000">
      <w:pPr>
        <w:ind w:firstLine="720"/>
      </w:pPr>
      <w:r>
        <w:t>We present a reproducible benchmark comparing four surprise formulations as predictors of single-trial EEG responses. Bayesian surprise shows the strongest trend, but no model survives correction for multiple comparisons. High regressor collinearity and trivial label leakage are identified as critical methodological challenges. These results establish an honest baseline and identify the limitations that future work with non-stationary paradigms must overcome.</w:t>
      </w:r>
    </w:p>
    <w:p w14:paraId="2FE9AB4E" w14:textId="77777777" w:rsidR="005228DC" w:rsidRDefault="00000000">
      <w:pPr>
        <w:pStyle w:val="Heading1"/>
      </w:pPr>
      <w:r>
        <w:rPr>
          <w:rFonts w:ascii="Times New Roman" w:hAnsi="Times New Roman"/>
          <w:color w:val="000000"/>
        </w:rPr>
        <w:t>Data and Code Availability</w:t>
      </w:r>
    </w:p>
    <w:p w14:paraId="325D9A7D" w14:textId="77777777" w:rsidR="005228DC" w:rsidRDefault="00000000">
      <w:r>
        <w:t>All data are from the ERP CORE dataset (Kappenman et al., 2021; https://erpinfo.org/erp-core; CC BY-SA 4.0). Analysis code and reproducibility scripts are available at [GitHub repository URL].</w:t>
      </w:r>
    </w:p>
    <w:p w14:paraId="4BFC8E5E" w14:textId="77777777" w:rsidR="005228DC" w:rsidRDefault="00000000">
      <w:pPr>
        <w:pStyle w:val="Heading1"/>
      </w:pPr>
      <w:r>
        <w:rPr>
          <w:rFonts w:ascii="Times New Roman" w:hAnsi="Times New Roman"/>
          <w:color w:val="000000"/>
        </w:rPr>
        <w:t>Ethics Statement</w:t>
      </w:r>
    </w:p>
    <w:p w14:paraId="32EE87A3" w14:textId="77777777" w:rsidR="005228DC" w:rsidRDefault="00000000">
      <w:r>
        <w:t>This study used publicly available, de-identified data from the ERP CORE dataset. The original data collection was approved by the Institutional Review Board at the University of California, Davis. No additional ethical approval was required for secondary analysis of de-identified public data.</w:t>
      </w:r>
    </w:p>
    <w:p w14:paraId="03D649BE" w14:textId="77777777" w:rsidR="005228DC" w:rsidRDefault="00000000">
      <w:pPr>
        <w:pStyle w:val="Heading1"/>
      </w:pPr>
      <w:r>
        <w:rPr>
          <w:rFonts w:ascii="Times New Roman" w:hAnsi="Times New Roman"/>
          <w:color w:val="000000"/>
        </w:rPr>
        <w:t>Conflict of Interest Statement</w:t>
      </w:r>
    </w:p>
    <w:p w14:paraId="4ED7A31D" w14:textId="77777777" w:rsidR="005228DC" w:rsidRDefault="00000000">
      <w:r>
        <w:t>The authors declare no conflicts of interest.</w:t>
      </w:r>
    </w:p>
    <w:p w14:paraId="41996601" w14:textId="77777777" w:rsidR="005228DC" w:rsidRDefault="00000000">
      <w:pPr>
        <w:pStyle w:val="Heading1"/>
      </w:pPr>
      <w:r>
        <w:rPr>
          <w:rFonts w:ascii="Times New Roman" w:hAnsi="Times New Roman"/>
          <w:color w:val="000000"/>
        </w:rPr>
        <w:t>Funding</w:t>
      </w:r>
    </w:p>
    <w:p w14:paraId="34EAFF5E" w14:textId="77777777" w:rsidR="005228DC" w:rsidRDefault="00000000">
      <w:r>
        <w:t>[Funding details to be added.]</w:t>
      </w:r>
    </w:p>
    <w:p w14:paraId="36538C2B" w14:textId="77777777" w:rsidR="005228DC" w:rsidRDefault="00000000">
      <w:pPr>
        <w:pStyle w:val="Heading1"/>
      </w:pPr>
      <w:r>
        <w:rPr>
          <w:rFonts w:ascii="Times New Roman" w:hAnsi="Times New Roman"/>
          <w:color w:val="000000"/>
        </w:rPr>
        <w:t>Author Contributions (CRediT)</w:t>
      </w:r>
    </w:p>
    <w:p w14:paraId="3E35315A" w14:textId="77777777" w:rsidR="005228DC" w:rsidRDefault="00000000">
      <w:r>
        <w:rPr>
          <w:b/>
        </w:rPr>
        <w:t>[Author A]:</w:t>
      </w:r>
      <w:r>
        <w:t xml:space="preserve"> Conceptualization, Methodology, Software, Formal Analysis, Writing – Original Draft, Visualization. </w:t>
      </w:r>
      <w:r>
        <w:rPr>
          <w:b/>
        </w:rPr>
        <w:t>[Author B]:</w:t>
      </w:r>
      <w:r>
        <w:t xml:space="preserve"> Methodology, Software, Data Curation, Writing – Review &amp; Editing.</w:t>
      </w:r>
    </w:p>
    <w:p w14:paraId="19B31A78" w14:textId="77777777" w:rsidR="005228DC" w:rsidRDefault="00000000">
      <w:pPr>
        <w:pStyle w:val="Heading1"/>
      </w:pPr>
      <w:r>
        <w:rPr>
          <w:rFonts w:ascii="Times New Roman" w:hAnsi="Times New Roman"/>
          <w:color w:val="000000"/>
        </w:rPr>
        <w:lastRenderedPageBreak/>
        <w:t>References</w:t>
      </w:r>
    </w:p>
    <w:p w14:paraId="070B4018" w14:textId="77777777" w:rsidR="005228DC" w:rsidRDefault="00000000">
      <w:pPr>
        <w:spacing w:after="80"/>
        <w:ind w:left="720" w:hanging="720"/>
      </w:pPr>
      <w:r>
        <w:rPr>
          <w:sz w:val="22"/>
        </w:rPr>
        <w:t>Adams, R. P., &amp; MacKay, D. J. C. (2007). Bayesian online changepoint detection. arXiv:0710.3742.</w:t>
      </w:r>
    </w:p>
    <w:p w14:paraId="55A68BAB" w14:textId="77777777" w:rsidR="005228DC" w:rsidRDefault="00000000">
      <w:pPr>
        <w:spacing w:after="80"/>
        <w:ind w:left="720" w:hanging="720"/>
      </w:pPr>
      <w:r>
        <w:rPr>
          <w:sz w:val="22"/>
        </w:rPr>
        <w:t>Friston, K. (2005). A theory of cortical responses. Philosophical Transactions of the Royal Society B, 360, 815–836.</w:t>
      </w:r>
    </w:p>
    <w:p w14:paraId="71490CBD" w14:textId="77777777" w:rsidR="005228DC" w:rsidRDefault="00000000">
      <w:pPr>
        <w:spacing w:after="80"/>
        <w:ind w:left="720" w:hanging="720"/>
      </w:pPr>
      <w:r>
        <w:rPr>
          <w:sz w:val="22"/>
        </w:rPr>
        <w:t>Gramfort, A., et al. (2013). MEG and EEG data analysis with MNE-Python. Frontiers in Neuroscience, 7, 267.</w:t>
      </w:r>
    </w:p>
    <w:p w14:paraId="1A7AA4E6" w14:textId="77777777" w:rsidR="005228DC" w:rsidRDefault="00000000">
      <w:pPr>
        <w:spacing w:after="80"/>
        <w:ind w:left="720" w:hanging="720"/>
      </w:pPr>
      <w:r>
        <w:rPr>
          <w:sz w:val="22"/>
        </w:rPr>
        <w:t>Itti, L., &amp; Baldi, P. (2009). Bayesian surprise attracts human attention. Vision Research, 49(10), 1295–1306.</w:t>
      </w:r>
    </w:p>
    <w:p w14:paraId="6E14D728" w14:textId="77777777" w:rsidR="005228DC" w:rsidRDefault="00000000">
      <w:pPr>
        <w:spacing w:after="80"/>
        <w:ind w:left="720" w:hanging="720"/>
      </w:pPr>
      <w:r>
        <w:rPr>
          <w:sz w:val="22"/>
        </w:rPr>
        <w:t>Kappenman, E. S., Farrens, J. L., Luck, S. J., &amp; Proudfit, G. H. (2021). ERP CORE: An open resource for human event-related potential research. NeuroImage, 225, 117465.</w:t>
      </w:r>
    </w:p>
    <w:p w14:paraId="308EFDF0" w14:textId="77777777" w:rsidR="005228DC" w:rsidRDefault="00000000">
      <w:pPr>
        <w:spacing w:after="80"/>
        <w:ind w:left="720" w:hanging="720"/>
      </w:pPr>
      <w:r>
        <w:rPr>
          <w:sz w:val="22"/>
        </w:rPr>
        <w:t>Kolossa, A., Fingscheidt, T., Wessel, K., &amp; Kopp, B. (2015). A model-based approach to trial-by-trial P300 amplitude fluctuations. Frontiers in Human Neuroscience, 6, 359.</w:t>
      </w:r>
    </w:p>
    <w:p w14:paraId="78B0A2F2" w14:textId="77777777" w:rsidR="005228DC" w:rsidRDefault="00000000">
      <w:pPr>
        <w:spacing w:after="80"/>
        <w:ind w:left="720" w:hanging="720"/>
      </w:pPr>
      <w:r>
        <w:rPr>
          <w:sz w:val="22"/>
        </w:rPr>
        <w:t>Maris, E., &amp; Oostenveld, R. (2007). Nonparametric statistical testing of EEG- and MEG-data. Journal of Neuroscience Methods, 164(1), 177–190.</w:t>
      </w:r>
    </w:p>
    <w:p w14:paraId="2B68180C" w14:textId="77777777" w:rsidR="005228DC" w:rsidRDefault="00000000">
      <w:pPr>
        <w:spacing w:after="80"/>
        <w:ind w:left="720" w:hanging="720"/>
      </w:pPr>
      <w:r>
        <w:rPr>
          <w:sz w:val="22"/>
        </w:rPr>
        <w:t>Mars, R. B., et al. (2008). Trial-by-trial fluctuations in the event-related electroencephalogram reflect dynamic changes in the degree of surprise. Journal of Neuroscience, 28(47), 12539–12545.</w:t>
      </w:r>
    </w:p>
    <w:p w14:paraId="536F610B" w14:textId="77777777" w:rsidR="005228DC" w:rsidRDefault="00000000">
      <w:pPr>
        <w:spacing w:after="80"/>
        <w:ind w:left="720" w:hanging="720"/>
      </w:pPr>
      <w:r>
        <w:rPr>
          <w:sz w:val="22"/>
        </w:rPr>
        <w:t>Näätänen, R., Paavilainen, P., Rinne, T., &amp; Alho, K. (2007). The mismatch negativity (MMN) in basic research of central auditory processing. Clinical Neurophysiology, 118(12), 2544–2590.</w:t>
      </w:r>
    </w:p>
    <w:p w14:paraId="72EAD748" w14:textId="77777777" w:rsidR="005228DC" w:rsidRDefault="00000000">
      <w:pPr>
        <w:spacing w:after="80"/>
        <w:ind w:left="720" w:hanging="720"/>
      </w:pPr>
      <w:r>
        <w:rPr>
          <w:sz w:val="22"/>
        </w:rPr>
        <w:t>Ostwald, D., et al. (2012). Evidence for neural encoding of Bayesian surprise in human somatosensation. NeuroImage, 62(1), 177–188.</w:t>
      </w:r>
    </w:p>
    <w:p w14:paraId="3651E1C3" w14:textId="77777777" w:rsidR="005228DC" w:rsidRDefault="00000000">
      <w:pPr>
        <w:spacing w:after="80"/>
        <w:ind w:left="720" w:hanging="720"/>
      </w:pPr>
      <w:r>
        <w:rPr>
          <w:sz w:val="22"/>
        </w:rPr>
        <w:t>Polich, J. (2007). Updating P300: An integrative theory of P3a and P3b. Clinical Neurophysiology, 118(10), 2128–2148.</w:t>
      </w:r>
    </w:p>
    <w:p w14:paraId="7E4ED25F" w14:textId="77777777" w:rsidR="005228DC" w:rsidRDefault="00000000">
      <w:pPr>
        <w:spacing w:after="80"/>
        <w:ind w:left="720" w:hanging="720"/>
      </w:pPr>
      <w:r>
        <w:rPr>
          <w:sz w:val="22"/>
        </w:rPr>
        <w:t>Rao, R. P. N., &amp; Ballard, D. H. (1999). Predictive coding in the visual cortex. Nature Neuroscience, 2(1), 79–87.</w:t>
      </w:r>
    </w:p>
    <w:p w14:paraId="30E9933A" w14:textId="77777777" w:rsidR="005228DC" w:rsidRDefault="00000000">
      <w:r>
        <w:br w:type="page"/>
      </w:r>
    </w:p>
    <w:p w14:paraId="0BC1F68F" w14:textId="77777777" w:rsidR="005228DC" w:rsidRDefault="00000000">
      <w:pPr>
        <w:pStyle w:val="Heading1"/>
      </w:pPr>
      <w:r>
        <w:rPr>
          <w:rFonts w:ascii="Times New Roman" w:hAnsi="Times New Roman"/>
          <w:color w:val="000000"/>
        </w:rPr>
        <w:lastRenderedPageBreak/>
        <w:t>Supplementary Material: Simulation Analysis</w:t>
      </w:r>
    </w:p>
    <w:p w14:paraId="2B1C814D" w14:textId="77777777" w:rsidR="005228DC" w:rsidRDefault="00000000">
      <w:pPr>
        <w:pStyle w:val="Heading2"/>
      </w:pPr>
      <w:r>
        <w:rPr>
          <w:rFonts w:ascii="Times New Roman" w:hAnsi="Times New Roman"/>
          <w:color w:val="000000"/>
        </w:rPr>
        <w:t>Model Distinguishability in Non-Stationary Paradigms</w:t>
      </w:r>
    </w:p>
    <w:p w14:paraId="7F992708" w14:textId="77777777" w:rsidR="005228DC" w:rsidRDefault="00000000">
      <w:r>
        <w:t xml:space="preserve">The stationary oddball paradigm used in our main analyses produces highly correlated surprise regressors (VIF &gt; 70 for Shannon and change-point models), preventing meaningful model comparison. To assess whether these models </w:t>
      </w:r>
      <w:r>
        <w:rPr>
          <w:b/>
        </w:rPr>
        <w:t>can</w:t>
      </w:r>
      <w:r>
        <w:t xml:space="preserve"> be distinguished with appropriate experimental designs, we conducted a simulation study using a roving oddball paradigm with known change points.</w:t>
      </w:r>
    </w:p>
    <w:p w14:paraId="317B69B9" w14:textId="77777777" w:rsidR="005228DC" w:rsidRDefault="00000000">
      <w:pPr>
        <w:pStyle w:val="Heading2"/>
      </w:pPr>
      <w:r>
        <w:rPr>
          <w:rFonts w:ascii="Times New Roman" w:hAnsi="Times New Roman"/>
          <w:color w:val="000000"/>
        </w:rPr>
        <w:t>Methods</w:t>
      </w:r>
    </w:p>
    <w:p w14:paraId="6693B5CC" w14:textId="77777777" w:rsidR="005228DC" w:rsidRDefault="00000000">
      <w:r>
        <w:rPr>
          <w:b/>
        </w:rPr>
        <w:t>Stimulus sequences.</w:t>
      </w:r>
      <w:r>
        <w:t xml:space="preserve"> We generated non-stationary oddball sequences (800 trials, 10 blocks of 80 trials) where the deviant probability alternated between low (p = 0.10–0.15) and high (p = 0.35–0.50) blocks, creating 9 change points. For comparison, we also generated stationary sequences with fixed p = 0.20.</w:t>
      </w:r>
    </w:p>
    <w:p w14:paraId="4BB239E9" w14:textId="77777777" w:rsidR="005228DC" w:rsidRDefault="00000000">
      <w:r>
        <w:rPr>
          <w:b/>
        </w:rPr>
        <w:t>Regressor dissociability.</w:t>
      </w:r>
      <w:r>
        <w:t xml:space="preserve"> All four surprise models were computed on each sequence type, and we compared correlation matrices and VIF values.</w:t>
      </w:r>
    </w:p>
    <w:p w14:paraId="0F648194" w14:textId="77777777" w:rsidR="005228DC" w:rsidRDefault="00000000">
      <w:r>
        <w:rPr>
          <w:b/>
        </w:rPr>
        <w:t>Model recovery.</w:t>
      </w:r>
      <w:r>
        <w:t xml:space="preserve"> For each of the four surprise models as ground truth, we simulated single-trial EEG data: amplitude = β₀ + β₁·stimulus + β₂·surprise_true + noise (effect size β₂ = 0.05–0.50, noise σ = 1.0). All four models were then fit to the simulated data, and the model with the lowest AIC was selected as the recovered model. We ran 500 simulations per ground-truth model at β = 0.20 and swept across 6 effect sizes with 200 simulations each.</w:t>
      </w:r>
    </w:p>
    <w:p w14:paraId="1DCBCDC1" w14:textId="77777777" w:rsidR="005228DC" w:rsidRDefault="00000000">
      <w:pPr>
        <w:pStyle w:val="Heading2"/>
      </w:pPr>
      <w:r>
        <w:rPr>
          <w:rFonts w:ascii="Times New Roman" w:hAnsi="Times New Roman"/>
          <w:color w:val="000000"/>
        </w:rPr>
        <w:t>Results</w:t>
      </w:r>
    </w:p>
    <w:p w14:paraId="2EA1276D" w14:textId="77777777" w:rsidR="005228DC" w:rsidRDefault="00000000">
      <w:r>
        <w:rPr>
          <w:b/>
        </w:rPr>
        <w:t>Regressor dissociability.</w:t>
      </w:r>
      <w:r>
        <w:t xml:space="preserve"> In the roving paradigm, mean VIF decreased from 11.7 (stationary) to 6.5 (roving), a 44% reduction. Static Shannon VIF dropped from 10.9 to 2.4 (78% reduction). However, adaptive Shannon and change-point remained moderately collinear (VIF ≈ 10–12) even in the roving design.</w:t>
      </w:r>
    </w:p>
    <w:p w14:paraId="777250EB" w14:textId="77777777" w:rsidR="005228DC" w:rsidRDefault="00000000">
      <w:r>
        <w:rPr>
          <w:b/>
        </w:rPr>
        <w:t>Model recovery.</w:t>
      </w:r>
      <w:r>
        <w:t xml:space="preserve"> At effect size β = 0.20, overall recovery rate was 65.2%. Critically, recovery rates differed dramatically across models (Figure 5D):</w:t>
      </w:r>
    </w:p>
    <w:p w14:paraId="77973CC8" w14:textId="77777777" w:rsidR="005228DC" w:rsidRDefault="00000000">
      <w:r>
        <w:t xml:space="preserve">• </w:t>
      </w:r>
      <w:r>
        <w:rPr>
          <w:b/>
        </w:rPr>
        <w:t>Bayesian surprise: 100% recovery.</w:t>
      </w:r>
      <w:r>
        <w:t xml:space="preserve"> The KL divergence signal is qualitatively distinct from frequency-based models, producing unique spikes at transitions that no other model replicates.</w:t>
      </w:r>
    </w:p>
    <w:p w14:paraId="0003B6C7" w14:textId="77777777" w:rsidR="005228DC" w:rsidRDefault="00000000">
      <w:r>
        <w:lastRenderedPageBreak/>
        <w:t xml:space="preserve">• </w:t>
      </w:r>
      <w:r>
        <w:rPr>
          <w:b/>
        </w:rPr>
        <w:t>Adaptive Shannon: 82% recovery.</w:t>
      </w:r>
      <w:r>
        <w:t xml:space="preserve"> The sliding window produces a delayed tracking signal that is distinguishable from Bayesian and static models.</w:t>
      </w:r>
    </w:p>
    <w:p w14:paraId="298795FC" w14:textId="77777777" w:rsidR="005228DC" w:rsidRDefault="00000000">
      <w:r>
        <w:t xml:space="preserve">• </w:t>
      </w:r>
      <w:r>
        <w:rPr>
          <w:b/>
        </w:rPr>
        <w:t>Change-point: 79% recovery.</w:t>
      </w:r>
      <w:r>
        <w:t xml:space="preserve"> The predictive surprise signal is similar to adaptive Shannon in roving paradigms (r = 0.95), creating some confusion between these models.</w:t>
      </w:r>
    </w:p>
    <w:p w14:paraId="5191A609" w14:textId="77777777" w:rsidR="005228DC" w:rsidRDefault="00000000">
      <w:r>
        <w:t xml:space="preserve">• </w:t>
      </w:r>
      <w:r>
        <w:rPr>
          <w:b/>
        </w:rPr>
        <w:t>Static Shannon: 0% recovery.</w:t>
      </w:r>
      <w:r>
        <w:t xml:space="preserve"> Because static Shannon uses global frequencies and does not adapt, its signal is indistinguishable from the other frequency-based models. It was consistently confused with Bayesian (45%) and change-point (28%) surprise.</w:t>
      </w:r>
    </w:p>
    <w:p w14:paraId="5B9B857E" w14:textId="77777777" w:rsidR="005228DC" w:rsidRDefault="00000000">
      <w:r>
        <w:rPr>
          <w:b/>
        </w:rPr>
        <w:t>Effect size sweep.</w:t>
      </w:r>
      <w:r>
        <w:t xml:space="preserve"> Bayesian surprise reached ≥94% recovery at β = 0.10 and 100% at β ≥ 0.15. Adaptive Shannon and change-point required β ≥ 0.20 for &gt;80% recovery. Static Shannon never exceeded chance regardless of effect size, indicating a fundamental identifiability problem.</w:t>
      </w:r>
    </w:p>
    <w:p w14:paraId="785D0950" w14:textId="77777777" w:rsidR="005228DC" w:rsidRDefault="00000000">
      <w:pPr>
        <w:jc w:val="center"/>
      </w:pPr>
      <w:r>
        <w:rPr>
          <w:noProof/>
        </w:rPr>
        <w:drawing>
          <wp:inline distT="0" distB="0" distL="0" distR="0" wp14:anchorId="6861B296" wp14:editId="070D0767">
            <wp:extent cx="5943600" cy="4247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imulation.png"/>
                    <pic:cNvPicPr/>
                  </pic:nvPicPr>
                  <pic:blipFill>
                    <a:blip r:embed="rId10"/>
                    <a:stretch>
                      <a:fillRect/>
                    </a:stretch>
                  </pic:blipFill>
                  <pic:spPr>
                    <a:xfrm>
                      <a:off x="0" y="0"/>
                      <a:ext cx="5943600" cy="4247535"/>
                    </a:xfrm>
                    <a:prstGeom prst="rect">
                      <a:avLst/>
                    </a:prstGeom>
                  </pic:spPr>
                </pic:pic>
              </a:graphicData>
            </a:graphic>
          </wp:inline>
        </w:drawing>
      </w:r>
    </w:p>
    <w:p w14:paraId="243B3A66" w14:textId="77777777" w:rsidR="005228DC" w:rsidRDefault="00000000">
      <w:r>
        <w:rPr>
          <w:b/>
          <w:sz w:val="20"/>
        </w:rPr>
        <w:t xml:space="preserve">Figure 5. </w:t>
      </w:r>
      <w:r>
        <w:rPr>
          <w:sz w:val="20"/>
        </w:rPr>
        <w:t xml:space="preserve">Simulation results for non-stationary (roving) oddball paradigms. (A) Surprise traces in a stationary paradigm — all models highly correlated. (B) Surprise traces in a roving paradigm — models diverge at change points (dashed lines). Dotted line shows true deviant probability. (C) VIF comparison: roving paradigms substantially reduce multicollinearity. (D) Model recovery confusion matrix (β = 0.20, 500 simulations). Bayesian </w:t>
      </w:r>
      <w:r>
        <w:rPr>
          <w:sz w:val="20"/>
        </w:rPr>
        <w:lastRenderedPageBreak/>
        <w:t>surprise is perfectly recoverable; static Shannon is never recovered. (E) Recovery rate as a function of effect size. (F) Design recommendations for future studies.</w:t>
      </w:r>
    </w:p>
    <w:p w14:paraId="0F3C29F5" w14:textId="77777777" w:rsidR="005228DC" w:rsidRDefault="00000000">
      <w:pPr>
        <w:pStyle w:val="Heading2"/>
      </w:pPr>
      <w:r>
        <w:rPr>
          <w:rFonts w:ascii="Times New Roman" w:hAnsi="Times New Roman"/>
          <w:color w:val="000000"/>
        </w:rPr>
        <w:t>Implications</w:t>
      </w:r>
    </w:p>
    <w:p w14:paraId="122259BF" w14:textId="77777777" w:rsidR="005228DC" w:rsidRDefault="00000000">
      <w:r>
        <w:t>These simulations demonstrate that the inability to distinguish surprise models in our main analyses is a property of the stationary oddball paradigm, not an inherent limitation of the computational framework. Three concrete recommendations emerge:</w:t>
      </w:r>
    </w:p>
    <w:p w14:paraId="4AD9C1A3" w14:textId="77777777" w:rsidR="005228DC" w:rsidRDefault="00000000">
      <w:r>
        <w:t xml:space="preserve">First, </w:t>
      </w:r>
      <w:r>
        <w:rPr>
          <w:b/>
        </w:rPr>
        <w:t>roving or volatile paradigms are essential</w:t>
      </w:r>
      <w:r>
        <w:t xml:space="preserve"> for testing competing surprise theories. Fixed-probability oddballs render most model comparisons uninformative due to multicollinearity.</w:t>
      </w:r>
    </w:p>
    <w:p w14:paraId="1EE66E79" w14:textId="77777777" w:rsidR="005228DC" w:rsidRDefault="00000000">
      <w:r>
        <w:t xml:space="preserve">Second, </w:t>
      </w:r>
      <w:r>
        <w:rPr>
          <w:b/>
        </w:rPr>
        <w:t>Bayesian surprise is the most identifiable model</w:t>
      </w:r>
      <w:r>
        <w:t xml:space="preserve"> and should be prioritized in future benchmark studies. Its unique sensitivity to belief revision produces signals that no frequency-based model can mimic.</w:t>
      </w:r>
    </w:p>
    <w:p w14:paraId="0928CCC9" w14:textId="77777777" w:rsidR="005228DC" w:rsidRDefault="00000000">
      <w:r>
        <w:t xml:space="preserve">Third, </w:t>
      </w:r>
      <w:r>
        <w:rPr>
          <w:b/>
        </w:rPr>
        <w:t>static Shannon surprise should not be included</w:t>
      </w:r>
      <w:r>
        <w:t xml:space="preserve"> as a competing model in formal comparisons, as it is fundamentally unidentifiable — it cannot be recovered even under ideal conditions. Its role should be limited to serving as a naive baseline.</w:t>
      </w:r>
    </w:p>
    <w:sectPr w:rsidR="005228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511683">
    <w:abstractNumId w:val="8"/>
  </w:num>
  <w:num w:numId="2" w16cid:durableId="710150303">
    <w:abstractNumId w:val="6"/>
  </w:num>
  <w:num w:numId="3" w16cid:durableId="770316138">
    <w:abstractNumId w:val="5"/>
  </w:num>
  <w:num w:numId="4" w16cid:durableId="1970471692">
    <w:abstractNumId w:val="4"/>
  </w:num>
  <w:num w:numId="5" w16cid:durableId="481239853">
    <w:abstractNumId w:val="7"/>
  </w:num>
  <w:num w:numId="6" w16cid:durableId="1685205494">
    <w:abstractNumId w:val="3"/>
  </w:num>
  <w:num w:numId="7" w16cid:durableId="1870489296">
    <w:abstractNumId w:val="2"/>
  </w:num>
  <w:num w:numId="8" w16cid:durableId="1266228109">
    <w:abstractNumId w:val="1"/>
  </w:num>
  <w:num w:numId="9" w16cid:durableId="1029066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6CC"/>
    <w:rsid w:val="0015074B"/>
    <w:rsid w:val="0029639D"/>
    <w:rsid w:val="002D5294"/>
    <w:rsid w:val="00326F90"/>
    <w:rsid w:val="005228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9F0BE"/>
  <w14:defaultImageDpi w14:val="300"/>
  <w15:docId w15:val="{16F2BBCC-5B19-5746-84DC-3CB764204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2988</Words>
  <Characters>18531</Characters>
  <Application>Microsoft Office Word</Application>
  <DocSecurity>0</DocSecurity>
  <Lines>421</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Brhanu Fentaw</cp:lastModifiedBy>
  <cp:revision>2</cp:revision>
  <dcterms:created xsi:type="dcterms:W3CDTF">2013-12-23T23:15:00Z</dcterms:created>
  <dcterms:modified xsi:type="dcterms:W3CDTF">2026-03-30T21:34:00Z</dcterms:modified>
  <cp:category/>
</cp:coreProperties>
</file>