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5.png" ContentType="image/png"/>
  <Override PartName="/word/media/rId29.png" ContentType="image/png"/>
  <Override PartName="/word/media/rId30.png" ContentType="image/png"/>
  <Override PartName="/word/media/rId21.png" ContentType="image/png"/>
  <Override PartName="/word/media/rId38.png" ContentType="image/png"/>
  <Override PartName="/word/media/rId32.png" ContentType="image/png"/>
  <Override PartName="/word/media/rId23.png" ContentType="image/png"/>
  <Override PartName="/word/media/rId27.png" ContentType="image/png"/>
  <Override PartName="/word/media/rId35.png" ContentType="image/png"/>
  <Override PartName="/word/media/rId36.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r>
        <w:t xml:space="preserve"> </w:t>
      </w:r>
      <w:r>
        <w:t xml:space="preserve">to</w:t>
      </w:r>
      <w:r>
        <w:t xml:space="preserve"> </w:t>
      </w:r>
      <w:r>
        <w:t xml:space="preserve">``A</w:t>
      </w:r>
      <w:r>
        <w:t xml:space="preserve"> </w:t>
      </w:r>
      <w:r>
        <w:t xml:space="preserve">longitudinal</w:t>
      </w:r>
      <w:r>
        <w:t xml:space="preserve"> </w:t>
      </w:r>
      <w:r>
        <w:t xml:space="preserve">analysis</w:t>
      </w:r>
      <w:r>
        <w:t xml:space="preserve"> </w:t>
      </w:r>
      <w:r>
        <w:t xml:space="preserve">of</w:t>
      </w:r>
      <w:r>
        <w:t xml:space="preserve"> </w:t>
      </w:r>
      <w:r>
        <w:t xml:space="preserve">the</w:t>
      </w:r>
      <w:r>
        <w:t xml:space="preserve"> </w:t>
      </w:r>
      <w:r>
        <w:t xml:space="preserve">social</w:t>
      </w:r>
      <w:r>
        <w:t xml:space="preserve"> </w:t>
      </w:r>
      <w:r>
        <w:t xml:space="preserve">information</w:t>
      </w:r>
      <w:r>
        <w:t xml:space="preserve"> </w:t>
      </w:r>
      <w:r>
        <w:t xml:space="preserve">in</w:t>
      </w:r>
      <w:r>
        <w:t xml:space="preserve"> </w:t>
      </w:r>
      <w:r>
        <w:t xml:space="preserve">infants’</w:t>
      </w:r>
      <w:r>
        <w:t xml:space="preserve"> </w:t>
      </w:r>
      <w:r>
        <w:t xml:space="preserve">naturalistic</w:t>
      </w:r>
      <w:r>
        <w:t xml:space="preserve"> </w:t>
      </w:r>
      <w:r>
        <w:t xml:space="preserve">visual</w:t>
      </w:r>
      <w:r>
        <w:t xml:space="preserve"> </w:t>
      </w:r>
      <w:r>
        <w:t xml:space="preserve">experience</w:t>
      </w:r>
      <w:r>
        <w:t xml:space="preserve"> </w:t>
      </w:r>
      <w:r>
        <w:t xml:space="preserve">using</w:t>
      </w:r>
      <w:r>
        <w:t xml:space="preserve"> </w:t>
      </w:r>
      <w:r>
        <w:t xml:space="preserve">automated</w:t>
      </w:r>
      <w:r>
        <w:t xml:space="preserve"> </w:t>
      </w:r>
      <w:r>
        <w:t xml:space="preserve">detections’’</w:t>
      </w:r>
    </w:p>
    <w:p>
      <w:pPr>
        <w:pStyle w:val="Date"/>
      </w:pPr>
      <w:r>
        <w:t xml:space="preserve">1/6/2022</w:t>
      </w:r>
    </w:p>
    <w:p>
      <w:pPr>
        <w:pStyle w:val="Heading2"/>
      </w:pPr>
      <w:bookmarkStart w:id="20" w:name="a1-openpose-annotation-examples"/>
      <w:r>
        <w:t xml:space="preserve">A1 OpenPose Annotation Examples</w:t>
      </w:r>
      <w:bookmarkEnd w:id="20"/>
    </w:p>
    <w:p>
      <w:pPr>
        <w:pStyle w:val="CaptionedFigure"/>
      </w:pPr>
      <w:r>
        <w:drawing>
          <wp:inline>
            <wp:extent cx="5334000" cy="4000500"/>
            <wp:effectExtent b="0" l="0" r="0" t="0"/>
            <wp:docPr descr="Example false alarms/misses for faces/hands randomly sampled from the larger set of manual annotations." title="" id="1" name="Picture"/>
            <a:graphic>
              <a:graphicData uri="http://schemas.openxmlformats.org/drawingml/2006/picture">
                <pic:pic>
                  <pic:nvPicPr>
                    <pic:cNvPr descr="appendix_files/figure-docx/error_examples-1.png" id="0" name="Picture"/>
                    <pic:cNvPicPr>
                      <a:picLocks noChangeArrowheads="1" noChangeAspect="1"/>
                    </pic:cNvPicPr>
                  </pic:nvPicPr>
                  <pic:blipFill>
                    <a:blip r:embed="rId2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Example false alarms/misses for faces/hands randomly sampled from the larger set of manual annotations.</w:t>
      </w:r>
    </w:p>
    <w:p>
      <w:pPr>
        <w:pStyle w:val="Heading2"/>
      </w:pPr>
      <w:bookmarkStart w:id="22" w:name="X475df741d16a7ef3a3e8b94959f20272497430e"/>
      <w:r>
        <w:t xml:space="preserve">A2 Density of child vs. adults hands in the visual field</w:t>
      </w:r>
      <w:bookmarkEnd w:id="22"/>
    </w:p>
    <w:p>
      <w:pPr>
        <w:pStyle w:val="CaptionedFigure"/>
      </w:pPr>
      <w:r>
        <w:drawing>
          <wp:inline>
            <wp:extent cx="5334000" cy="2872153"/>
            <wp:effectExtent b="0" l="0" r="0" t="0"/>
            <wp:docPr descr="Density estimates for the child (left) and adult (right) hands that were detected in the 24K frame random gold set; each dot represents the center of a bounding box made by an adult participant. Brighter values indicate more detections." title="" id="1" name="Picture"/>
            <a:graphic>
              <a:graphicData uri="http://schemas.openxmlformats.org/drawingml/2006/picture">
                <pic:pic>
                  <pic:nvPicPr>
                    <pic:cNvPr descr="appendix_files/figure-docx/handLocation-1.png" id="0" name="Picture"/>
                    <pic:cNvPicPr>
                      <a:picLocks noChangeArrowheads="1" noChangeAspect="1"/>
                    </pic:cNvPicPr>
                  </pic:nvPicPr>
                  <pic:blipFill>
                    <a:blip r:embed="rId23"/>
                    <a:stretch>
                      <a:fillRect/>
                    </a:stretch>
                  </pic:blipFill>
                  <pic:spPr bwMode="auto">
                    <a:xfrm>
                      <a:off x="0" y="0"/>
                      <a:ext cx="5334000" cy="2872153"/>
                    </a:xfrm>
                    <a:prstGeom prst="rect">
                      <a:avLst/>
                    </a:prstGeom>
                    <a:noFill/>
                    <a:ln w="9525">
                      <a:noFill/>
                      <a:headEnd/>
                      <a:tailEnd/>
                    </a:ln>
                  </pic:spPr>
                </pic:pic>
              </a:graphicData>
            </a:graphic>
          </wp:inline>
        </w:drawing>
      </w:r>
    </w:p>
    <w:p>
      <w:pPr>
        <w:pStyle w:val="ImageCaption"/>
      </w:pPr>
      <w:r>
        <w:t xml:space="preserve">Density estimates for the child (left) and adult (right) hands that were detected in the 24K frame random gold set; each dot represents the center of a bounding box made by an adult participant. Brighter values indicate more detections.</w:t>
      </w:r>
    </w:p>
    <w:p>
      <w:pPr>
        <w:pStyle w:val="Heading2"/>
      </w:pPr>
      <w:bookmarkStart w:id="24" w:name="a3-location-of-openpose-false-positives"/>
      <w:r>
        <w:t xml:space="preserve">A3 Location of OpenPose False Positives</w:t>
      </w:r>
      <w:bookmarkEnd w:id="24"/>
    </w:p>
    <w:p>
      <w:pPr>
        <w:pStyle w:val="FirstParagraph"/>
      </w:pPr>
      <w:r>
        <w:t xml:space="preserve">Below we visualize the locations of the 1229 faces (in 1093 frames) that OpenPose detected in the gold set frames that were not actually there, as well as the 1778 OpenPose false positive hands (in 1237 frames) from the gold set.</w:t>
      </w:r>
      <w:r>
        <w:t xml:space="preserve"> </w:t>
      </w:r>
      <w:r>
        <w:t xml:space="preserve">The average location of OpenPose’s false positives for both faces (left) and hands (right) are somewhat more common in the center of the frame, but some are scattered across the frame.</w:t>
      </w:r>
      <w:r>
        <w:t xml:space="preserve"> </w:t>
      </w:r>
      <w:r>
        <w:t xml:space="preserve">Qualitatively, the location of these false positives do not look much different than the true positive detections.</w:t>
      </w:r>
    </w:p>
    <w:p>
      <w:pPr>
        <w:pStyle w:val="CaptionedFigure"/>
      </w:pPr>
      <w:r>
        <w:drawing>
          <wp:inline>
            <wp:extent cx="5334000" cy="2624259"/>
            <wp:effectExtent b="0" l="0" r="0" t="0"/>
            <wp:docPr descr="Density plot of the locations of false positives for OpenPose detections for faces (left) and hands (right) in the gold set." title="" id="1" name="Picture"/>
            <a:graphic>
              <a:graphicData uri="http://schemas.openxmlformats.org/drawingml/2006/picture">
                <pic:pic>
                  <pic:nvPicPr>
                    <pic:cNvPr descr="appendix_files/figure-docx/density-op-fps-1.png" id="0" name="Picture"/>
                    <pic:cNvPicPr>
                      <a:picLocks noChangeArrowheads="1" noChangeAspect="1"/>
                    </pic:cNvPicPr>
                  </pic:nvPicPr>
                  <pic:blipFill>
                    <a:blip r:embed="rId25"/>
                    <a:stretch>
                      <a:fillRect/>
                    </a:stretch>
                  </pic:blipFill>
                  <pic:spPr bwMode="auto">
                    <a:xfrm>
                      <a:off x="0" y="0"/>
                      <a:ext cx="5334000" cy="2624259"/>
                    </a:xfrm>
                    <a:prstGeom prst="rect">
                      <a:avLst/>
                    </a:prstGeom>
                    <a:noFill/>
                    <a:ln w="9525">
                      <a:noFill/>
                      <a:headEnd/>
                      <a:tailEnd/>
                    </a:ln>
                  </pic:spPr>
                </pic:pic>
              </a:graphicData>
            </a:graphic>
          </wp:inline>
        </w:drawing>
      </w:r>
    </w:p>
    <w:p>
      <w:pPr>
        <w:pStyle w:val="ImageCaption"/>
      </w:pPr>
      <w:r>
        <w:t xml:space="preserve">Density plot of the locations of false positives for OpenPose detections for faces (left) and hands (right) in the gold set.</w:t>
      </w:r>
    </w:p>
    <w:p>
      <w:pPr>
        <w:pStyle w:val="Heading2"/>
      </w:pPr>
      <w:bookmarkStart w:id="26" w:name="a4-detection-threshold-estimations"/>
      <w:r>
        <w:t xml:space="preserve">A4 Detection threshold estimations</w:t>
      </w:r>
      <w:bookmarkEnd w:id="26"/>
    </w:p>
    <w:p>
      <w:pPr>
        <w:pStyle w:val="CaptionedFigure"/>
      </w:pPr>
      <w:r>
        <w:drawing>
          <wp:inline>
            <wp:extent cx="5334000" cy="2624259"/>
            <wp:effectExtent b="0" l="0" r="0" t="0"/>
            <wp:docPr descr="ROC curves relating the rate of true vs. false positives for both face and hand detections at each level of detector confidence thresholds (lighter values = stricter cutoffs)." title="" id="1" name="Picture"/>
            <a:graphic>
              <a:graphicData uri="http://schemas.openxmlformats.org/drawingml/2006/picture">
                <pic:pic>
                  <pic:nvPicPr>
                    <pic:cNvPr descr="appendix_files/figure-docx/roc_curves-1.png" id="0" name="Picture"/>
                    <pic:cNvPicPr>
                      <a:picLocks noChangeArrowheads="1" noChangeAspect="1"/>
                    </pic:cNvPicPr>
                  </pic:nvPicPr>
                  <pic:blipFill>
                    <a:blip r:embed="rId27"/>
                    <a:stretch>
                      <a:fillRect/>
                    </a:stretch>
                  </pic:blipFill>
                  <pic:spPr bwMode="auto">
                    <a:xfrm>
                      <a:off x="0" y="0"/>
                      <a:ext cx="5334000" cy="2624259"/>
                    </a:xfrm>
                    <a:prstGeom prst="rect">
                      <a:avLst/>
                    </a:prstGeom>
                    <a:noFill/>
                    <a:ln w="9525">
                      <a:noFill/>
                      <a:headEnd/>
                      <a:tailEnd/>
                    </a:ln>
                  </pic:spPr>
                </pic:pic>
              </a:graphicData>
            </a:graphic>
          </wp:inline>
        </w:drawing>
      </w:r>
    </w:p>
    <w:p>
      <w:pPr>
        <w:pStyle w:val="ImageCaption"/>
      </w:pPr>
      <w:r>
        <w:t xml:space="preserve">ROC curves relating the rate of true vs. false positives for both face and hand detections at each level of detector confidence thresholds (lighter values = stricter cutoffs).</w:t>
      </w:r>
    </w:p>
    <w:p>
      <w:pPr>
        <w:pStyle w:val="Heading2"/>
      </w:pPr>
      <w:bookmarkStart w:id="28" w:name="a5a6-openpose-error-analyses"/>
      <w:r>
        <w:t xml:space="preserve">A5/A6 OpenPose Error Analyses</w:t>
      </w:r>
      <w:bookmarkEnd w:id="28"/>
    </w:p>
    <w:p>
      <w:pPr>
        <w:pStyle w:val="CaptionedFigure"/>
      </w:pPr>
      <w:r>
        <w:drawing>
          <wp:inline>
            <wp:extent cx="5334000" cy="2538778"/>
            <wp:effectExtent b="0" l="0" r="0" t="0"/>
            <wp:docPr descr="F-score of OpenPose hand and face detections in the gold sample by child and age. Size indicates number of detections age bin/child." title="" id="1" name="Picture"/>
            <a:graphic>
              <a:graphicData uri="http://schemas.openxmlformats.org/drawingml/2006/picture">
                <pic:pic>
                  <pic:nvPicPr>
                    <pic:cNvPr descr="appendix_files/figure-docx/det_perf_by_age-1.png" id="0" name="Picture"/>
                    <pic:cNvPicPr>
                      <a:picLocks noChangeArrowheads="1" noChangeAspect="1"/>
                    </pic:cNvPicPr>
                  </pic:nvPicPr>
                  <pic:blipFill>
                    <a:blip r:embed="rId29"/>
                    <a:stretch>
                      <a:fillRect/>
                    </a:stretch>
                  </pic:blipFill>
                  <pic:spPr bwMode="auto">
                    <a:xfrm>
                      <a:off x="0" y="0"/>
                      <a:ext cx="5334000" cy="2538778"/>
                    </a:xfrm>
                    <a:prstGeom prst="rect">
                      <a:avLst/>
                    </a:prstGeom>
                    <a:noFill/>
                    <a:ln w="9525">
                      <a:noFill/>
                      <a:headEnd/>
                      <a:tailEnd/>
                    </a:ln>
                  </pic:spPr>
                </pic:pic>
              </a:graphicData>
            </a:graphic>
          </wp:inline>
        </w:drawing>
      </w:r>
    </w:p>
    <w:p>
      <w:pPr>
        <w:pStyle w:val="ImageCaption"/>
      </w:pPr>
      <w:r>
        <w:t xml:space="preserve">F-score of OpenPose hand and face detections in the gold sample by child and age. Size indicates number of detections age bin/child.</w:t>
      </w:r>
    </w:p>
    <w:p>
      <w:pPr>
        <w:pStyle w:val="CaptionedFigure"/>
      </w:pPr>
      <w:r>
        <w:drawing>
          <wp:inline>
            <wp:extent cx="5334000" cy="2461846"/>
            <wp:effectExtent b="0" l="0" r="0" t="0"/>
            <wp:docPr descr="F-score of OpenPose hand and face detections in the gold sample by location. Size indicates number of detections per location: minimum = 55 (car); maximum = 1753 (living room)." title="" id="1" name="Picture"/>
            <a:graphic>
              <a:graphicData uri="http://schemas.openxmlformats.org/drawingml/2006/picture">
                <pic:pic>
                  <pic:nvPicPr>
                    <pic:cNvPr descr="appendix_files/figure-docx/det_perf_by_locations-1.png" id="0" name="Picture"/>
                    <pic:cNvPicPr>
                      <a:picLocks noChangeArrowheads="1" noChangeAspect="1"/>
                    </pic:cNvPicPr>
                  </pic:nvPicPr>
                  <pic:blipFill>
                    <a:blip r:embed="rId30"/>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F-score of OpenPose hand and face detections in the gold sample by location. Size indicates number of detections per location: minimum = 55 (car); maximum = 1753 (living room).</w:t>
      </w:r>
    </w:p>
    <w:p>
      <w:pPr>
        <w:pStyle w:val="Heading2"/>
      </w:pPr>
      <w:bookmarkStart w:id="31" w:name="Xf80c5efbe60a87d7c4f18ec2c5ffa4ef8f11612"/>
      <w:r>
        <w:t xml:space="preserve">A7 Face/hand detections relative to human annotations</w:t>
      </w:r>
      <w:bookmarkEnd w:id="31"/>
    </w:p>
    <w:p>
      <w:pPr>
        <w:pStyle w:val="CaptionedFigure"/>
      </w:pPr>
      <w:r>
        <w:drawing>
          <wp:inline>
            <wp:extent cx="5334000" cy="3048000"/>
            <wp:effectExtent b="0" l="0" r="0" t="0"/>
            <wp:docPr descr="Proportion of faces and hands seen as a function of age for each child in the dataset. Data are binned by each week that the videos were filmed and scaled by the number of frames in that age range. Dashed lines show estimated trend lines from proportion of faces/hands in view when analyzing the gold set of frames made by human annotators. Dotted lines show trend lines from the goldset when frames containing children’s own hands were excluded." title="" id="1" name="Picture"/>
            <a:graphic>
              <a:graphicData uri="http://schemas.openxmlformats.org/drawingml/2006/picture">
                <pic:pic>
                  <pic:nvPicPr>
                    <pic:cNvPr descr="appendix_files/figure-docx/goldSetSanity-1.png" id="0" name="Picture"/>
                    <pic:cNvPicPr>
                      <a:picLocks noChangeArrowheads="1" noChangeAspect="1"/>
                    </pic:cNvPicPr>
                  </pic:nvPicPr>
                  <pic:blipFill>
                    <a:blip r:embed="rId32"/>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Proportion of faces and hands seen as a function of age for each child in the dataset. Data are binned by each week that the videos were filmed and scaled by the number of frames in that age range. Dashed lines show estimated trend lines from proportion of faces/hands in view when analyzing the gold set of frames made by human annotators. Dotted lines show trend lines from the goldset when frames containing children’s own hands were excluded.</w:t>
      </w:r>
    </w:p>
    <w:p>
      <w:pPr>
        <w:pStyle w:val="Heading2"/>
      </w:pPr>
      <w:bookmarkStart w:id="33" w:name="a8-activity-by-location"/>
      <w:r>
        <w:t xml:space="preserve">A8 Activity by Location</w:t>
      </w:r>
      <w:bookmarkEnd w:id="33"/>
    </w:p>
    <w:p>
      <w:pPr>
        <w:pStyle w:val="CaptionedFigure"/>
      </w:pPr>
      <w:r>
        <w:drawing>
          <wp:inline>
            <wp:extent cx="5334000" cy="2624259"/>
            <wp:effectExtent b="0" l="0" r="0" t="0"/>
            <wp:docPr descr="Counts of activities by location, including multilocation videos." title="" id="1" name="Picture"/>
            <a:graphic>
              <a:graphicData uri="http://schemas.openxmlformats.org/drawingml/2006/picture">
                <pic:pic>
                  <pic:nvPicPr>
                    <pic:cNvPr descr="appendix_files/figure-docx/activities_by_lo-1.png" id="0" name="Picture"/>
                    <pic:cNvPicPr>
                      <a:picLocks noChangeArrowheads="1" noChangeAspect="1"/>
                    </pic:cNvPicPr>
                  </pic:nvPicPr>
                  <pic:blipFill>
                    <a:blip r:embed="rId34"/>
                    <a:stretch>
                      <a:fillRect/>
                    </a:stretch>
                  </pic:blipFill>
                  <pic:spPr bwMode="auto">
                    <a:xfrm>
                      <a:off x="0" y="0"/>
                      <a:ext cx="5334000" cy="2624259"/>
                    </a:xfrm>
                    <a:prstGeom prst="rect">
                      <a:avLst/>
                    </a:prstGeom>
                    <a:noFill/>
                    <a:ln w="9525">
                      <a:noFill/>
                      <a:headEnd/>
                      <a:tailEnd/>
                    </a:ln>
                  </pic:spPr>
                </pic:pic>
              </a:graphicData>
            </a:graphic>
          </wp:inline>
        </w:drawing>
      </w:r>
    </w:p>
    <w:p>
      <w:pPr>
        <w:pStyle w:val="ImageCaption"/>
      </w:pPr>
      <w:r>
        <w:t xml:space="preserve">Counts of activities by location, including multilocation videos.</w:t>
      </w:r>
    </w:p>
    <w:p>
      <w:pPr>
        <w:pStyle w:val="CaptionedFigure"/>
      </w:pPr>
      <w:r>
        <w:drawing>
          <wp:inline>
            <wp:extent cx="5334000" cy="2461846"/>
            <wp:effectExtent b="0" l="0" r="0" t="0"/>
            <wp:docPr descr="Counts of activities by location in videos taking place in only a single location." title="" id="1" name="Picture"/>
            <a:graphic>
              <a:graphicData uri="http://schemas.openxmlformats.org/drawingml/2006/picture">
                <pic:pic>
                  <pic:nvPicPr>
                    <pic:cNvPr descr="appendix_files/figure-docx/unnamed-chunk-26-1.png" id="0" name="Picture"/>
                    <pic:cNvPicPr>
                      <a:picLocks noChangeArrowheads="1" noChangeAspect="1"/>
                    </pic:cNvPicPr>
                  </pic:nvPicPr>
                  <pic:blipFill>
                    <a:blip r:embed="rId35"/>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Counts of activities by location in videos taking place in only a single location.</w:t>
      </w:r>
    </w:p>
    <w:p>
      <w:pPr>
        <w:pStyle w:val="CaptionedFigure"/>
      </w:pPr>
      <w:r>
        <w:drawing>
          <wp:inline>
            <wp:extent cx="5334000" cy="2461846"/>
            <wp:effectExtent b="0" l="0" r="0" t="0"/>
            <wp:docPr descr="Probability of different activities, given location (in single-location videos)." title="" id="1" name="Picture"/>
            <a:graphic>
              <a:graphicData uri="http://schemas.openxmlformats.org/drawingml/2006/picture">
                <pic:pic>
                  <pic:nvPicPr>
                    <pic:cNvPr descr="appendix_files/figure-docx/unnamed-chunk-27-1.png" id="0" name="Picture"/>
                    <pic:cNvPicPr>
                      <a:picLocks noChangeArrowheads="1" noChangeAspect="1"/>
                    </pic:cNvPicPr>
                  </pic:nvPicPr>
                  <pic:blipFill>
                    <a:blip r:embed="rId36"/>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Probability of different activities, given location (in single-location videos).</w:t>
      </w:r>
    </w:p>
    <w:p>
      <w:pPr>
        <w:pStyle w:val="Heading2"/>
      </w:pPr>
      <w:bookmarkStart w:id="37" w:name="Xb9b754b253a97a78175f243df4abceb6a77d785"/>
      <w:r>
        <w:t xml:space="preserve">A9 Distribution of faces and hands in the visual field</w:t>
      </w:r>
      <w:bookmarkEnd w:id="37"/>
    </w:p>
    <w:p>
      <w:pPr>
        <w:pStyle w:val="FirstParagraph"/>
      </w:pPr>
      <w:r>
        <w:t xml:space="preserve">We explored where in the visual field children tended to see faces and hands, suspecting that these distributions might become wider as children grow older and learn to locomote on their own, following preliminary analyses from Frank (2012).</w:t>
      </w:r>
      <w:r>
        <w:t xml:space="preserve"> </w:t>
      </w:r>
      <w:r>
        <w:t xml:space="preserve">As expected, faces tended to appear in the upper visual field in contrast to hands, which tended to be more centrally located (see Figure).</w:t>
      </w:r>
      <w:r>
        <w:t xml:space="preserve"> </w:t>
      </w:r>
      <w:r>
        <w:t xml:space="preserve">However, we found little evidence for any changes in the positions of faces and hands across age, suggesting that this is a relatively stable property of infants’ visual environment from 6 months of age.</w:t>
      </w:r>
    </w:p>
    <w:p>
      <w:pPr>
        <w:pStyle w:val="CaptionedFigure"/>
      </w:pPr>
      <w:r>
        <w:drawing>
          <wp:inline>
            <wp:extent cx="5334000" cy="7385538"/>
            <wp:effectExtent b="0" l="0" r="0" t="0"/>
            <wp:docPr descr="Each panel shows the average position of faces and hands in the visual field in a videos from a given age range, i.e., videos when children in the dataset were were 5-31 months of age. Each dot represents the average position from one video within a given age range." title="" id="1" name="Picture"/>
            <a:graphic>
              <a:graphicData uri="http://schemas.openxmlformats.org/drawingml/2006/picture">
                <pic:pic>
                  <pic:nvPicPr>
                    <pic:cNvPr descr="appendix_files/figure-docx/faceHandDensity-1.png" id="0" name="Picture"/>
                    <pic:cNvPicPr>
                      <a:picLocks noChangeArrowheads="1" noChangeAspect="1"/>
                    </pic:cNvPicPr>
                  </pic:nvPicPr>
                  <pic:blipFill>
                    <a:blip r:embed="rId38"/>
                    <a:stretch>
                      <a:fillRect/>
                    </a:stretch>
                  </pic:blipFill>
                  <pic:spPr bwMode="auto">
                    <a:xfrm>
                      <a:off x="0" y="0"/>
                      <a:ext cx="5334000" cy="7385538"/>
                    </a:xfrm>
                    <a:prstGeom prst="rect">
                      <a:avLst/>
                    </a:prstGeom>
                    <a:noFill/>
                    <a:ln w="9525">
                      <a:noFill/>
                      <a:headEnd/>
                      <a:tailEnd/>
                    </a:ln>
                  </pic:spPr>
                </pic:pic>
              </a:graphicData>
            </a:graphic>
          </wp:inline>
        </w:drawing>
      </w:r>
    </w:p>
    <w:p>
      <w:pPr>
        <w:pStyle w:val="ImageCaption"/>
      </w:pPr>
      <w:r>
        <w:t xml:space="preserve">Each panel shows the average position of faces and hands in the visual field in a videos from a given age range, i.e., videos when children in the dataset were were 5-31 months of age. Each dot represents the average position from one video within a given age range.</w:t>
      </w:r>
    </w:p>
    <w:p>
      <w:pPr>
        <w:pStyle w:val="Heading2"/>
      </w:pPr>
      <w:bookmarkStart w:id="39" w:name="X3d7fd6cb538b781cd8f2f9eea8cd8f468d74008"/>
      <w:r>
        <w:t xml:space="preserve">A10 Face/hand detections by walking ability</w:t>
      </w:r>
      <w:bookmarkEnd w:id="39"/>
    </w:p>
    <w:p>
      <w:pPr>
        <w:pStyle w:val="FirstParagraph"/>
      </w:pPr>
      <w:r>
        <w:t xml:space="preserve">Each parent in the SAYCam dataset completed the Ages and Stages Questionnaire (ASQ), which includes questions about their child’s motor abilities, and we used the responses from this questionnaire to code the age (in months) at which each child became able to walk on their own. We found considerable variability in the age at which each child achieved this milestone: S began walking after 10 months, A after 13 months, and Y after 16 months of age.</w:t>
      </w:r>
    </w:p>
    <w:p>
      <w:pPr>
        <w:pStyle w:val="BodyText"/>
      </w:pPr>
      <w:r>
        <w:t xml:space="preserve">Below, we plot face and hand detections for each child as a function of when each child started walking independently.</w:t>
      </w:r>
    </w:p>
    <w:p>
      <w:pPr>
        <w:pStyle w:val="BodyText"/>
      </w:pPr>
      <w:r>
        <w:drawing>
          <wp:inline>
            <wp:extent cx="5334000" cy="4267200"/>
            <wp:effectExtent b="0" l="0" r="0" t="0"/>
            <wp:docPr descr="" title="" id="1" name="Picture"/>
            <a:graphic>
              <a:graphicData uri="http://schemas.openxmlformats.org/drawingml/2006/picture">
                <pic:pic>
                  <pic:nvPicPr>
                    <pic:cNvPr descr="appendix_files/figure-docx/unnamed-chunk-31-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1" Target="media/rId21.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to ``A longitudinal analysis of the social information in infants’ naturalistic visual experience using automated detections’’</dc:title>
  <dc:creator/>
  <cp:keywords/>
  <dcterms:created xsi:type="dcterms:W3CDTF">2022-01-07T19:09:16Z</dcterms:created>
  <dcterms:modified xsi:type="dcterms:W3CDTF">2022-01-07T19:09:16Z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1/6/2022</vt:lpwstr>
  </property>
  <property fmtid="{D5CDD505-2E9C-101B-9397-08002B2CF9AE}" pid="3" name="output">
    <vt:lpwstr>word_document</vt:lpwstr>
  </property>
</Properties>
</file>