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25.png" ContentType="image/png"/>
  <Override PartName="/word/media/rId29.png" ContentType="image/png"/>
  <Override PartName="/word/media/rId30.png" ContentType="image/png"/>
  <Override PartName="/word/media/rId21.png" ContentType="image/png"/>
  <Override PartName="/word/media/rId42.png" ContentType="image/png"/>
  <Override PartName="/word/media/rId32.png" ContentType="image/png"/>
  <Override PartName="/word/media/rId23.png" ContentType="image/png"/>
  <Override PartName="/word/media/rId27.png" ContentType="image/png"/>
  <Override PartName="/word/media/rId39.png" ContentType="image/png"/>
  <Override PartName="/word/media/rId4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Appendix</w:t>
      </w:r>
    </w:p>
    <w:p>
      <w:pPr>
        <w:pStyle w:val="Author"/>
      </w:pPr>
      <w:r>
        <w:t xml:space="preserve">Bria</w:t>
      </w:r>
      <w:r>
        <w:t xml:space="preserve"> </w:t>
      </w:r>
      <w:r>
        <w:t xml:space="preserve">Long</w:t>
      </w:r>
    </w:p>
    <w:p>
      <w:pPr>
        <w:pStyle w:val="Date"/>
      </w:pPr>
      <w:r>
        <w:t xml:space="preserve">1/6/2022</w:t>
      </w:r>
    </w:p>
    <w:p>
      <w:pPr>
        <w:pStyle w:val="SourceCode"/>
      </w:pPr>
      <w:r>
        <w:rPr>
          <w:rStyle w:val="VerbatimChar"/>
        </w:rPr>
        <w:t xml:space="preserve">## Warning: package 'ggplot2' was built under R version 3.6.2</w:t>
      </w:r>
    </w:p>
    <w:p>
      <w:pPr>
        <w:pStyle w:val="SourceCode"/>
      </w:pPr>
      <w:r>
        <w:rPr>
          <w:rStyle w:val="VerbatimChar"/>
        </w:rPr>
        <w:t xml:space="preserve">## Warning: package 'tibble' was built under R version 3.6.2</w:t>
      </w:r>
    </w:p>
    <w:p>
      <w:pPr>
        <w:pStyle w:val="SourceCode"/>
      </w:pPr>
      <w:r>
        <w:rPr>
          <w:rStyle w:val="VerbatimChar"/>
        </w:rPr>
        <w:t xml:space="preserve">## Warning: package 'tidyr' was built under R version 3.6.2</w:t>
      </w:r>
    </w:p>
    <w:p>
      <w:pPr>
        <w:pStyle w:val="SourceCode"/>
      </w:pPr>
      <w:r>
        <w:rPr>
          <w:rStyle w:val="VerbatimChar"/>
        </w:rPr>
        <w:t xml:space="preserve">## Warning: package 'dplyr' was built under R version 3.6.2</w:t>
      </w:r>
    </w:p>
    <w:p>
      <w:pPr>
        <w:pStyle w:val="SourceCode"/>
      </w:pPr>
      <w:r>
        <w:rPr>
          <w:rStyle w:val="VerbatimChar"/>
        </w:rPr>
        <w:t xml:space="preserve">## Warning: package 'ggeffects' was built under R version 3.6.2</w:t>
      </w:r>
    </w:p>
    <w:p>
      <w:pPr>
        <w:pStyle w:val="Heading2"/>
      </w:pPr>
      <w:bookmarkStart w:id="20" w:name="a1-openpose-annotation-examples"/>
      <w:r>
        <w:t xml:space="preserve">A1 OpenPose Annotation Examples</w:t>
      </w:r>
      <w:bookmarkEnd w:id="20"/>
    </w:p>
    <w:p>
      <w:pPr>
        <w:pStyle w:val="CaptionedFigure"/>
      </w:pPr>
      <w:r>
        <w:drawing>
          <wp:inline>
            <wp:extent cx="5334000" cy="4000500"/>
            <wp:effectExtent b="0" l="0" r="0" t="0"/>
            <wp:docPr descr="Example false alarms/misses for faces/hands randomly sampled from the larger set of manual annotations." title="" id="1" name="Picture"/>
            <a:graphic>
              <a:graphicData uri="http://schemas.openxmlformats.org/drawingml/2006/picture">
                <pic:pic>
                  <pic:nvPicPr>
                    <pic:cNvPr descr="appendix_files/figure-docx/error_examples-1.png" id="0" name="Picture"/>
                    <pic:cNvPicPr>
                      <a:picLocks noChangeArrowheads="1" noChangeAspect="1"/>
                    </pic:cNvPicPr>
                  </pic:nvPicPr>
                  <pic:blipFill>
                    <a:blip r:embed="rId21"/>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Example false alarms/misses for faces/hands randomly sampled from the larger set of manual annotations.</w:t>
      </w:r>
    </w:p>
    <w:p>
      <w:pPr>
        <w:pStyle w:val="Heading2"/>
      </w:pPr>
      <w:bookmarkStart w:id="22" w:name="X475df741d16a7ef3a3e8b94959f20272497430e"/>
      <w:r>
        <w:t xml:space="preserve">A2 Density of child vs. adults hands in the visual field</w:t>
      </w:r>
      <w:bookmarkEnd w:id="22"/>
    </w:p>
    <w:p>
      <w:pPr>
        <w:pStyle w:val="CaptionedFigure"/>
      </w:pPr>
      <w:r>
        <w:drawing>
          <wp:inline>
            <wp:extent cx="5334000" cy="2872153"/>
            <wp:effectExtent b="0" l="0" r="0" t="0"/>
            <wp:docPr descr="Density estimates for the child (left) and adult (right) hands that were detected in the 24K frame random gold set; each dot represents the center of a bounding box made by an adult participant. Brighter values indicate more detections." title="" id="1" name="Picture"/>
            <a:graphic>
              <a:graphicData uri="http://schemas.openxmlformats.org/drawingml/2006/picture">
                <pic:pic>
                  <pic:nvPicPr>
                    <pic:cNvPr descr="appendix_files/figure-docx/handLocation-1.png" id="0" name="Picture"/>
                    <pic:cNvPicPr>
                      <a:picLocks noChangeArrowheads="1" noChangeAspect="1"/>
                    </pic:cNvPicPr>
                  </pic:nvPicPr>
                  <pic:blipFill>
                    <a:blip r:embed="rId23"/>
                    <a:stretch>
                      <a:fillRect/>
                    </a:stretch>
                  </pic:blipFill>
                  <pic:spPr bwMode="auto">
                    <a:xfrm>
                      <a:off x="0" y="0"/>
                      <a:ext cx="5334000" cy="2872153"/>
                    </a:xfrm>
                    <a:prstGeom prst="rect">
                      <a:avLst/>
                    </a:prstGeom>
                    <a:noFill/>
                    <a:ln w="9525">
                      <a:noFill/>
                      <a:headEnd/>
                      <a:tailEnd/>
                    </a:ln>
                  </pic:spPr>
                </pic:pic>
              </a:graphicData>
            </a:graphic>
          </wp:inline>
        </w:drawing>
      </w:r>
    </w:p>
    <w:p>
      <w:pPr>
        <w:pStyle w:val="ImageCaption"/>
      </w:pPr>
      <w:r>
        <w:t xml:space="preserve">Density estimates for the child (left) and adult (right) hands that were detected in the 24K frame random gold set; each dot represents the center of a bounding box made by an adult participant. Brighter values indicate more detections.</w:t>
      </w:r>
    </w:p>
    <w:p>
      <w:pPr>
        <w:pStyle w:val="Heading2"/>
      </w:pPr>
      <w:bookmarkStart w:id="24" w:name="a3-location-of-openpose-false-positives"/>
      <w:r>
        <w:t xml:space="preserve">A3 Location of OpenPose False Positives</w:t>
      </w:r>
      <w:bookmarkEnd w:id="24"/>
    </w:p>
    <w:p>
      <w:pPr>
        <w:pStyle w:val="FirstParagraph"/>
      </w:pPr>
      <w:r>
        <w:t xml:space="preserve">Below we visualize the locations of the 1229 faces (in 1093 frames) that OpenPose detected in the gold set frames that were not actually there, as well as the 1778 OpenPose false positive hands (in 1237 frames) from the gold set.</w:t>
      </w:r>
      <w:r>
        <w:t xml:space="preserve"> </w:t>
      </w:r>
      <w:r>
        <w:t xml:space="preserve">The average location of OpenPose’s false positives for both faces (left) and hands (right) are somewhat more common in the center of the frame, but some are scattered across the frame.</w:t>
      </w:r>
      <w:r>
        <w:t xml:space="preserve"> </w:t>
      </w:r>
      <w:r>
        <w:t xml:space="preserve">Qualitatively, the location of these false positives do not look much different than the true positive detections.</w:t>
      </w:r>
    </w:p>
    <w:p>
      <w:pPr>
        <w:pStyle w:val="CaptionedFigure"/>
      </w:pPr>
      <w:r>
        <w:drawing>
          <wp:inline>
            <wp:extent cx="5334000" cy="2624259"/>
            <wp:effectExtent b="0" l="0" r="0" t="0"/>
            <wp:docPr descr="Density plot of the locations of false positives for OpenPose detections for faces (left) and hands (right) in the gold set." title="" id="1" name="Picture"/>
            <a:graphic>
              <a:graphicData uri="http://schemas.openxmlformats.org/drawingml/2006/picture">
                <pic:pic>
                  <pic:nvPicPr>
                    <pic:cNvPr descr="appendix_files/figure-docx/density-op-fps-1.png" id="0" name="Picture"/>
                    <pic:cNvPicPr>
                      <a:picLocks noChangeArrowheads="1" noChangeAspect="1"/>
                    </pic:cNvPicPr>
                  </pic:nvPicPr>
                  <pic:blipFill>
                    <a:blip r:embed="rId25"/>
                    <a:stretch>
                      <a:fillRect/>
                    </a:stretch>
                  </pic:blipFill>
                  <pic:spPr bwMode="auto">
                    <a:xfrm>
                      <a:off x="0" y="0"/>
                      <a:ext cx="5334000" cy="2624259"/>
                    </a:xfrm>
                    <a:prstGeom prst="rect">
                      <a:avLst/>
                    </a:prstGeom>
                    <a:noFill/>
                    <a:ln w="9525">
                      <a:noFill/>
                      <a:headEnd/>
                      <a:tailEnd/>
                    </a:ln>
                  </pic:spPr>
                </pic:pic>
              </a:graphicData>
            </a:graphic>
          </wp:inline>
        </w:drawing>
      </w:r>
    </w:p>
    <w:p>
      <w:pPr>
        <w:pStyle w:val="ImageCaption"/>
      </w:pPr>
      <w:r>
        <w:t xml:space="preserve">Density plot of the locations of false positives for OpenPose detections for faces (left) and hands (right) in the gold set.</w:t>
      </w:r>
    </w:p>
    <w:p>
      <w:pPr>
        <w:pStyle w:val="Heading2"/>
      </w:pPr>
      <w:bookmarkStart w:id="26" w:name="a4-detection-threshold-estimations"/>
      <w:r>
        <w:t xml:space="preserve">A4 Detection threshold estimations</w:t>
      </w:r>
      <w:bookmarkEnd w:id="26"/>
    </w:p>
    <w:p>
      <w:pPr>
        <w:pStyle w:val="CaptionedFigure"/>
      </w:pPr>
      <w:r>
        <w:drawing>
          <wp:inline>
            <wp:extent cx="5334000" cy="2624259"/>
            <wp:effectExtent b="0" l="0" r="0" t="0"/>
            <wp:docPr descr="ROC curves relating the rate of true vs. false positives for both face and hand detections at each level of detector confidence thresholds (lighter values = stricter cutoffs)." title="" id="1" name="Picture"/>
            <a:graphic>
              <a:graphicData uri="http://schemas.openxmlformats.org/drawingml/2006/picture">
                <pic:pic>
                  <pic:nvPicPr>
                    <pic:cNvPr descr="appendix_files/figure-docx/roc_curves-1.png" id="0" name="Picture"/>
                    <pic:cNvPicPr>
                      <a:picLocks noChangeArrowheads="1" noChangeAspect="1"/>
                    </pic:cNvPicPr>
                  </pic:nvPicPr>
                  <pic:blipFill>
                    <a:blip r:embed="rId27"/>
                    <a:stretch>
                      <a:fillRect/>
                    </a:stretch>
                  </pic:blipFill>
                  <pic:spPr bwMode="auto">
                    <a:xfrm>
                      <a:off x="0" y="0"/>
                      <a:ext cx="5334000" cy="2624259"/>
                    </a:xfrm>
                    <a:prstGeom prst="rect">
                      <a:avLst/>
                    </a:prstGeom>
                    <a:noFill/>
                    <a:ln w="9525">
                      <a:noFill/>
                      <a:headEnd/>
                      <a:tailEnd/>
                    </a:ln>
                  </pic:spPr>
                </pic:pic>
              </a:graphicData>
            </a:graphic>
          </wp:inline>
        </w:drawing>
      </w:r>
    </w:p>
    <w:p>
      <w:pPr>
        <w:pStyle w:val="ImageCaption"/>
      </w:pPr>
      <w:r>
        <w:t xml:space="preserve">ROC curves relating the rate of true vs. false positives for both face and hand detections at each level of detector confidence thresholds (lighter values = stricter cutoffs).</w:t>
      </w:r>
    </w:p>
    <w:p>
      <w:pPr>
        <w:pStyle w:val="Heading2"/>
      </w:pPr>
      <w:bookmarkStart w:id="28" w:name="a5a6-openpose-error-analyses"/>
      <w:r>
        <w:t xml:space="preserve">A5/A6 OpenPose Error Analyses</w:t>
      </w:r>
      <w:bookmarkEnd w:id="28"/>
    </w:p>
    <w:p>
      <w:pPr>
        <w:pStyle w:val="CaptionedFigure"/>
      </w:pPr>
      <w:r>
        <w:drawing>
          <wp:inline>
            <wp:extent cx="5334000" cy="2538778"/>
            <wp:effectExtent b="0" l="0" r="0" t="0"/>
            <wp:docPr descr="F-score of OpenPose hand and face detections in the gold sample by child and age. Size indicates number of detections age bin/child." title="" id="1" name="Picture"/>
            <a:graphic>
              <a:graphicData uri="http://schemas.openxmlformats.org/drawingml/2006/picture">
                <pic:pic>
                  <pic:nvPicPr>
                    <pic:cNvPr descr="appendix_files/figure-docx/det_perf_by_age-1.png" id="0" name="Picture"/>
                    <pic:cNvPicPr>
                      <a:picLocks noChangeArrowheads="1" noChangeAspect="1"/>
                    </pic:cNvPicPr>
                  </pic:nvPicPr>
                  <pic:blipFill>
                    <a:blip r:embed="rId29"/>
                    <a:stretch>
                      <a:fillRect/>
                    </a:stretch>
                  </pic:blipFill>
                  <pic:spPr bwMode="auto">
                    <a:xfrm>
                      <a:off x="0" y="0"/>
                      <a:ext cx="5334000" cy="2538778"/>
                    </a:xfrm>
                    <a:prstGeom prst="rect">
                      <a:avLst/>
                    </a:prstGeom>
                    <a:noFill/>
                    <a:ln w="9525">
                      <a:noFill/>
                      <a:headEnd/>
                      <a:tailEnd/>
                    </a:ln>
                  </pic:spPr>
                </pic:pic>
              </a:graphicData>
            </a:graphic>
          </wp:inline>
        </w:drawing>
      </w:r>
    </w:p>
    <w:p>
      <w:pPr>
        <w:pStyle w:val="ImageCaption"/>
      </w:pPr>
      <w:r>
        <w:t xml:space="preserve">F-score of OpenPose hand and face detections in the gold sample by child and age. Size indicates number of detections age bin/child.</w:t>
      </w:r>
    </w:p>
    <w:p>
      <w:pPr>
        <w:pStyle w:val="CaptionedFigure"/>
      </w:pPr>
      <w:r>
        <w:drawing>
          <wp:inline>
            <wp:extent cx="5334000" cy="2461846"/>
            <wp:effectExtent b="0" l="0" r="0" t="0"/>
            <wp:docPr descr="F-score of OpenPose hand and face detections in the gold sample by location. Size indicates number of detections per location: minimum = 55 (car); maximum = 1753 (living room)." title="" id="1" name="Picture"/>
            <a:graphic>
              <a:graphicData uri="http://schemas.openxmlformats.org/drawingml/2006/picture">
                <pic:pic>
                  <pic:nvPicPr>
                    <pic:cNvPr descr="appendix_files/figure-docx/det_perf_by_locations-1.png" id="0" name="Picture"/>
                    <pic:cNvPicPr>
                      <a:picLocks noChangeArrowheads="1" noChangeAspect="1"/>
                    </pic:cNvPicPr>
                  </pic:nvPicPr>
                  <pic:blipFill>
                    <a:blip r:embed="rId30"/>
                    <a:stretch>
                      <a:fillRect/>
                    </a:stretch>
                  </pic:blipFill>
                  <pic:spPr bwMode="auto">
                    <a:xfrm>
                      <a:off x="0" y="0"/>
                      <a:ext cx="5334000" cy="2461846"/>
                    </a:xfrm>
                    <a:prstGeom prst="rect">
                      <a:avLst/>
                    </a:prstGeom>
                    <a:noFill/>
                    <a:ln w="9525">
                      <a:noFill/>
                      <a:headEnd/>
                      <a:tailEnd/>
                    </a:ln>
                  </pic:spPr>
                </pic:pic>
              </a:graphicData>
            </a:graphic>
          </wp:inline>
        </w:drawing>
      </w:r>
    </w:p>
    <w:p>
      <w:pPr>
        <w:pStyle w:val="ImageCaption"/>
      </w:pPr>
      <w:r>
        <w:t xml:space="preserve">F-score of OpenPose hand and face detections in the gold sample by location. Size indicates number of detections per location: minimum = 55 (car); maximum = 1753 (living room).</w:t>
      </w:r>
    </w:p>
    <w:p>
      <w:pPr>
        <w:pStyle w:val="Heading2"/>
      </w:pPr>
      <w:bookmarkStart w:id="31" w:name="Xf80c5efbe60a87d7c4f18ec2c5ffa4ef8f11612"/>
      <w:r>
        <w:t xml:space="preserve">A7 Face/hand detections relative to human annotations</w:t>
      </w:r>
      <w:bookmarkEnd w:id="31"/>
    </w:p>
    <w:p>
      <w:pPr>
        <w:pStyle w:val="CaptionedFigure"/>
      </w:pPr>
      <w:r>
        <w:drawing>
          <wp:inline>
            <wp:extent cx="5334000" cy="3048000"/>
            <wp:effectExtent b="0" l="0" r="0" t="0"/>
            <wp:docPr descr="Proportion of faces and hands seen as a function of age for each child in the dataset. Data are binned by each week that the videos were filmed and scaled by the number of frames in that age range. Dashed lines show estimated trend lines from proportion of faces/hands in view when analyzing the gold set of frames made by human annotators. Dotted lines show trend lines from the goldset when frames containing children’s own hands were excluded." title="" id="1" name="Picture"/>
            <a:graphic>
              <a:graphicData uri="http://schemas.openxmlformats.org/drawingml/2006/picture">
                <pic:pic>
                  <pic:nvPicPr>
                    <pic:cNvPr descr="appendix_files/figure-docx/goldSetSanity-1.png" id="0" name="Picture"/>
                    <pic:cNvPicPr>
                      <a:picLocks noChangeArrowheads="1" noChangeAspect="1"/>
                    </pic:cNvPicPr>
                  </pic:nvPicPr>
                  <pic:blipFill>
                    <a:blip r:embed="rId32"/>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r>
        <w:t xml:space="preserve">Proportion of faces and hands seen as a function of age for each child in the dataset. Data are binned by each week that the videos were filmed and scaled by the number of frames in that age range. Dashed lines show estimated trend lines from proportion of faces/hands in view when analyzing the gold set of frames made by human annotators. Dotted lines show trend lines from the goldset when frames containing children’s own hands were excluded.</w:t>
      </w:r>
    </w:p>
    <w:p>
      <w:pPr>
        <w:pStyle w:val="Heading2"/>
      </w:pPr>
      <w:bookmarkStart w:id="33" w:name="Xceecbc2ad370855927b2618a1aa6d9eb73962fd"/>
      <w:r>
        <w:t xml:space="preserve">Tables 1&amp;2 Motor Milestones Analysis Details</w:t>
      </w:r>
      <w:bookmarkEnd w:id="33"/>
    </w:p>
    <w:p>
      <w:pPr>
        <w:pStyle w:val="FirstParagraph"/>
      </w:pPr>
      <w:r>
        <w:t xml:space="preserve">We examine whether the SAYcam participants’ age of reaching particular developmental milestones (sitting, cruising, and walking) significantly influenced the proportion of hands or faces that they saw, using a mixed-effects regression with per-child random intercepts.</w:t>
      </w:r>
    </w:p>
    <w:p>
      <w:pPr>
        <w:pStyle w:val="BodyText"/>
      </w:pPr>
      <w:r>
        <w:t xml:space="preserve">We tried including random slopes by age and milestone, but the models did not converge and/or were singular. Thus, for each milestone the R syntax was: \texttt{prop_faces ~ age * milestone + (1 | child_id)}.Children’s age of achieving each milestone was dummy-coded (i.e., 0=milestone not reached; 1=milestone reached).</w:t>
      </w:r>
    </w:p>
    <w:p>
      <w:pPr>
        <w:pStyle w:val="Heading3"/>
      </w:pPr>
      <w:bookmarkStart w:id="34" w:name="sitting"/>
      <w:r>
        <w:t xml:space="preserve">Sitting</w:t>
      </w:r>
      <w:bookmarkEnd w:id="34"/>
    </w:p>
    <w:p>
      <w:pPr>
        <w:pStyle w:val="FirstParagraph"/>
      </w:pPr>
      <w:r>
        <w:t xml:space="preserve">Children’s age at which they began sitting did not significantly predict changes in either the amount of faces or hands that they saw.</w:t>
      </w:r>
    </w:p>
    <w:p>
      <w:pPr>
        <w:pStyle w:val="Heading3"/>
      </w:pPr>
      <w:bookmarkStart w:id="35" w:name="cruising"/>
      <w:r>
        <w:t xml:space="preserve">Cruising</w:t>
      </w:r>
      <w:bookmarkEnd w:id="35"/>
    </w:p>
    <w:p>
      <w:pPr>
        <w:pStyle w:val="FirstParagraph"/>
      </w:pPr>
      <w:r>
        <w:t xml:space="preserve">As children became able to cruise, they saw significantly more faces (</w:t>
      </w:r>
      <m:oMath>
        <m:r>
          <m:t>β</m:t>
        </m:r>
        <m:r>
          <m:t>=</m:t>
        </m:r>
        <m:r>
          <m:t>0.27</m:t>
        </m:r>
      </m:oMath>
      <w:r>
        <w:t xml:space="preserve">) and hands (</w:t>
      </w:r>
      <m:oMath>
        <m:r>
          <m:t>β</m:t>
        </m:r>
        <m:r>
          <m:t>=</m:t>
        </m:r>
        <m:r>
          <m:t>0.26</m:t>
        </m:r>
      </m:oMath>
      <w:r>
        <w:t xml:space="preserve">.</w:t>
      </w:r>
      <w:r>
        <w:t xml:space="preserve"> </w:t>
      </w:r>
      <w:r>
        <w:t xml:space="preserve">For faces, there was a significant negative interaction of age and cruising (</w:t>
      </w:r>
      <m:oMath>
        <m:r>
          <m:t>β</m:t>
        </m:r>
        <m:r>
          <m:t>=</m:t>
        </m:r>
        <m:r>
          <m:t>−</m:t>
        </m:r>
        <m:r>
          <m:t>0.03</m:t>
        </m:r>
      </m:oMath>
      <w:r>
        <w:t xml:space="preserve">,</w:t>
      </w:r>
      <w:r>
        <w:t xml:space="preserve"> </w:t>
      </w:r>
      <m:oMath>
        <m:r>
          <m:t>p</m:t>
        </m:r>
        <m:r>
          <m:t>=</m:t>
        </m:r>
        <m:r>
          <m:t>0.025</m:t>
        </m:r>
      </m:oMath>
      <w:r>
        <w:t xml:space="preserve">), and a marginal positive effect of age (</w:t>
      </w:r>
      <m:oMath>
        <m:r>
          <m:t>β</m:t>
        </m:r>
        <m:r>
          <m:t>=</m:t>
        </m:r>
        <m:r>
          <m:t>0.03</m:t>
        </m:r>
      </m:oMath>
      <w:r>
        <w:t xml:space="preserve">,</w:t>
      </w:r>
      <w:r>
        <w:t xml:space="preserve"> </w:t>
      </w:r>
      <m:oMath>
        <m:r>
          <m:t>p</m:t>
        </m:r>
        <m:r>
          <m:t>=</m:t>
        </m:r>
        <m:r>
          <m:t>0.055</m:t>
        </m:r>
      </m:oMath>
      <w:r>
        <w:t xml:space="preserve">).</w:t>
      </w:r>
    </w:p>
    <w:p>
      <w:pPr>
        <w:pStyle w:val="Heading3"/>
      </w:pPr>
      <w:bookmarkStart w:id="36" w:name="walking"/>
      <w:r>
        <w:t xml:space="preserve">Walking</w:t>
      </w:r>
      <w:bookmarkEnd w:id="36"/>
    </w:p>
    <w:p>
      <w:pPr>
        <w:pStyle w:val="FirstParagraph"/>
      </w:pPr>
      <w:r>
        <w:t xml:space="preserve">As children became able to walk, they saw marginally more hands (</w:t>
      </w:r>
      <m:oMath>
        <m:r>
          <m:t>β</m:t>
        </m:r>
        <m:r>
          <m:t>=</m:t>
        </m:r>
        <m:r>
          <m:t>0.09</m:t>
        </m:r>
      </m:oMath>
      <w:r>
        <w:t xml:space="preserve">,</w:t>
      </w:r>
      <w:r>
        <w:t xml:space="preserve"> </w:t>
      </w:r>
      <m:oMath>
        <m:r>
          <m:t>p</m:t>
        </m:r>
        <m:r>
          <m:t>=</m:t>
        </m:r>
        <m:r>
          <m:t>0.052</m:t>
        </m:r>
      </m:oMath>
      <w:r>
        <w:t xml:space="preserve">).</w:t>
      </w:r>
    </w:p>
    <w:p>
      <w:pPr>
        <w:pStyle w:val="Heading2"/>
      </w:pPr>
      <w:bookmarkStart w:id="37" w:name="a8-activity-by-location"/>
      <w:r>
        <w:t xml:space="preserve">A8 Activity by Location</w:t>
      </w:r>
      <w:bookmarkEnd w:id="37"/>
    </w:p>
    <w:p>
      <w:pPr>
        <w:pStyle w:val="CaptionedFigure"/>
      </w:pPr>
      <w:r>
        <w:drawing>
          <wp:inline>
            <wp:extent cx="5334000" cy="2624259"/>
            <wp:effectExtent b="0" l="0" r="0" t="0"/>
            <wp:docPr descr="Counts of activities by location, including multilocation videos." title="" id="1" name="Picture"/>
            <a:graphic>
              <a:graphicData uri="http://schemas.openxmlformats.org/drawingml/2006/picture">
                <pic:pic>
                  <pic:nvPicPr>
                    <pic:cNvPr descr="appendix_files/figure-docx/activities_by_lo-1.png" id="0" name="Picture"/>
                    <pic:cNvPicPr>
                      <a:picLocks noChangeArrowheads="1" noChangeAspect="1"/>
                    </pic:cNvPicPr>
                  </pic:nvPicPr>
                  <pic:blipFill>
                    <a:blip r:embed="rId38"/>
                    <a:stretch>
                      <a:fillRect/>
                    </a:stretch>
                  </pic:blipFill>
                  <pic:spPr bwMode="auto">
                    <a:xfrm>
                      <a:off x="0" y="0"/>
                      <a:ext cx="5334000" cy="2624259"/>
                    </a:xfrm>
                    <a:prstGeom prst="rect">
                      <a:avLst/>
                    </a:prstGeom>
                    <a:noFill/>
                    <a:ln w="9525">
                      <a:noFill/>
                      <a:headEnd/>
                      <a:tailEnd/>
                    </a:ln>
                  </pic:spPr>
                </pic:pic>
              </a:graphicData>
            </a:graphic>
          </wp:inline>
        </w:drawing>
      </w:r>
    </w:p>
    <w:p>
      <w:pPr>
        <w:pStyle w:val="ImageCaption"/>
      </w:pPr>
      <w:r>
        <w:t xml:space="preserve">Counts of activities by location, including multilocation videos.</w:t>
      </w:r>
    </w:p>
    <w:p>
      <w:pPr>
        <w:pStyle w:val="CaptionedFigure"/>
      </w:pPr>
      <w:r>
        <w:drawing>
          <wp:inline>
            <wp:extent cx="5334000" cy="2461846"/>
            <wp:effectExtent b="0" l="0" r="0" t="0"/>
            <wp:docPr descr="Counts of activities by location in videos taking place in only a single location." title="" id="1" name="Picture"/>
            <a:graphic>
              <a:graphicData uri="http://schemas.openxmlformats.org/drawingml/2006/picture">
                <pic:pic>
                  <pic:nvPicPr>
                    <pic:cNvPr descr="appendix_files/figure-docx/unnamed-chunk-36-1.png" id="0" name="Picture"/>
                    <pic:cNvPicPr>
                      <a:picLocks noChangeArrowheads="1" noChangeAspect="1"/>
                    </pic:cNvPicPr>
                  </pic:nvPicPr>
                  <pic:blipFill>
                    <a:blip r:embed="rId39"/>
                    <a:stretch>
                      <a:fillRect/>
                    </a:stretch>
                  </pic:blipFill>
                  <pic:spPr bwMode="auto">
                    <a:xfrm>
                      <a:off x="0" y="0"/>
                      <a:ext cx="5334000" cy="2461846"/>
                    </a:xfrm>
                    <a:prstGeom prst="rect">
                      <a:avLst/>
                    </a:prstGeom>
                    <a:noFill/>
                    <a:ln w="9525">
                      <a:noFill/>
                      <a:headEnd/>
                      <a:tailEnd/>
                    </a:ln>
                  </pic:spPr>
                </pic:pic>
              </a:graphicData>
            </a:graphic>
          </wp:inline>
        </w:drawing>
      </w:r>
    </w:p>
    <w:p>
      <w:pPr>
        <w:pStyle w:val="ImageCaption"/>
      </w:pPr>
      <w:r>
        <w:t xml:space="preserve">Counts of activities by location in videos taking place in only a single location.</w:t>
      </w:r>
    </w:p>
    <w:p>
      <w:pPr>
        <w:pStyle w:val="CaptionedFigure"/>
      </w:pPr>
      <w:r>
        <w:drawing>
          <wp:inline>
            <wp:extent cx="5334000" cy="2461846"/>
            <wp:effectExtent b="0" l="0" r="0" t="0"/>
            <wp:docPr descr="Probability of different activities, given location (in single-location videos)." title="" id="1" name="Picture"/>
            <a:graphic>
              <a:graphicData uri="http://schemas.openxmlformats.org/drawingml/2006/picture">
                <pic:pic>
                  <pic:nvPicPr>
                    <pic:cNvPr descr="appendix_files/figure-docx/unnamed-chunk-37-1.png" id="0" name="Picture"/>
                    <pic:cNvPicPr>
                      <a:picLocks noChangeArrowheads="1" noChangeAspect="1"/>
                    </pic:cNvPicPr>
                  </pic:nvPicPr>
                  <pic:blipFill>
                    <a:blip r:embed="rId40"/>
                    <a:stretch>
                      <a:fillRect/>
                    </a:stretch>
                  </pic:blipFill>
                  <pic:spPr bwMode="auto">
                    <a:xfrm>
                      <a:off x="0" y="0"/>
                      <a:ext cx="5334000" cy="2461846"/>
                    </a:xfrm>
                    <a:prstGeom prst="rect">
                      <a:avLst/>
                    </a:prstGeom>
                    <a:noFill/>
                    <a:ln w="9525">
                      <a:noFill/>
                      <a:headEnd/>
                      <a:tailEnd/>
                    </a:ln>
                  </pic:spPr>
                </pic:pic>
              </a:graphicData>
            </a:graphic>
          </wp:inline>
        </w:drawing>
      </w:r>
    </w:p>
    <w:p>
      <w:pPr>
        <w:pStyle w:val="ImageCaption"/>
      </w:pPr>
      <w:r>
        <w:t xml:space="preserve">Probability of different activities, given location (in single-location videos).</w:t>
      </w:r>
    </w:p>
    <w:p>
      <w:pPr>
        <w:pStyle w:val="Heading2"/>
      </w:pPr>
      <w:bookmarkStart w:id="41" w:name="Xb9b754b253a97a78175f243df4abceb6a77d785"/>
      <w:r>
        <w:t xml:space="preserve">A9 Distribution of faces and hands in the visual field</w:t>
      </w:r>
      <w:bookmarkEnd w:id="41"/>
    </w:p>
    <w:p>
      <w:pPr>
        <w:pStyle w:val="FirstParagraph"/>
      </w:pPr>
      <w:r>
        <w:t xml:space="preserve">We explored where in the visual field children tended to see faces and hands, suspecting that these distributions might become wider as children grow older and learn to locomote on their own, following preliminary analyses from Frank (2012).</w:t>
      </w:r>
      <w:r>
        <w:t xml:space="preserve"> </w:t>
      </w:r>
      <w:r>
        <w:t xml:space="preserve">As expected, faces tended to appear in the upper visual field in contrast to hands, which tended to be more centrally located (see Figure).</w:t>
      </w:r>
      <w:r>
        <w:t xml:space="preserve"> </w:t>
      </w:r>
      <w:r>
        <w:t xml:space="preserve">However, we found little evidence for any changes in the positions of faces and hands across age, suggesting that this is a relatively stable property of infants’ visual environment from 6 months of age.</w:t>
      </w:r>
    </w:p>
    <w:p>
      <w:pPr>
        <w:pStyle w:val="CaptionedFigure"/>
      </w:pPr>
      <w:r>
        <w:drawing>
          <wp:inline>
            <wp:extent cx="5334000" cy="7385538"/>
            <wp:effectExtent b="0" l="0" r="0" t="0"/>
            <wp:docPr descr="Each panel shows the average position of faces and hands in the visual field in a videos from a given age range, i.e., videos when children in the dataset were were 5-31 months of age. Each dot represents the average position from one video within a given age range." title="" id="1" name="Picture"/>
            <a:graphic>
              <a:graphicData uri="http://schemas.openxmlformats.org/drawingml/2006/picture">
                <pic:pic>
                  <pic:nvPicPr>
                    <pic:cNvPr descr="appendix_files/figure-docx/faceHandDensity-1.png" id="0" name="Picture"/>
                    <pic:cNvPicPr>
                      <a:picLocks noChangeArrowheads="1" noChangeAspect="1"/>
                    </pic:cNvPicPr>
                  </pic:nvPicPr>
                  <pic:blipFill>
                    <a:blip r:embed="rId42"/>
                    <a:stretch>
                      <a:fillRect/>
                    </a:stretch>
                  </pic:blipFill>
                  <pic:spPr bwMode="auto">
                    <a:xfrm>
                      <a:off x="0" y="0"/>
                      <a:ext cx="5334000" cy="7385538"/>
                    </a:xfrm>
                    <a:prstGeom prst="rect">
                      <a:avLst/>
                    </a:prstGeom>
                    <a:noFill/>
                    <a:ln w="9525">
                      <a:noFill/>
                      <a:headEnd/>
                      <a:tailEnd/>
                    </a:ln>
                  </pic:spPr>
                </pic:pic>
              </a:graphicData>
            </a:graphic>
          </wp:inline>
        </w:drawing>
      </w:r>
    </w:p>
    <w:p>
      <w:pPr>
        <w:pStyle w:val="ImageCaption"/>
      </w:pPr>
      <w:r>
        <w:t xml:space="preserve">Each panel shows the average position of faces and hands in the visual field in a videos from a given age range, i.e., videos when children in the dataset were were 5-31 months of age. Each dot represents the average position from one video within a given age range.</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21" Target="media/rId21.png" /><Relationship Type="http://schemas.openxmlformats.org/officeDocument/2006/relationships/image" Id="rId42" Target="media/rId42.png" /><Relationship Type="http://schemas.openxmlformats.org/officeDocument/2006/relationships/image" Id="rId32" Target="media/rId3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39" Target="media/rId39.png" /><Relationship Type="http://schemas.openxmlformats.org/officeDocument/2006/relationships/image" Id="rId40" Target="media/rId40.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Appendix</dc:title>
  <dc:creator>Bria Long</dc:creator>
  <cp:keywords/>
  <dcterms:created xsi:type="dcterms:W3CDTF">2022-01-07T00:21:15Z</dcterms:created>
  <dcterms:modified xsi:type="dcterms:W3CDTF">2022-01-07T00:21:15Z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1/6/2022</vt:lpwstr>
  </property>
  <property fmtid="{D5CDD505-2E9C-101B-9397-08002B2CF9AE}" pid="3" name="output">
    <vt:lpwstr>word_document</vt:lpwstr>
  </property>
</Properties>
</file>