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&amp;</w:t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</w:t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Identity</w:t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:            Microsoft 365, Entra ID, MFA, RBAC, SSO, Microsoft Graph API, REST APIs, Webhooks, O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>A</w:t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uth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>2.0</w:t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, SAML, Postman</w:t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Languages &amp; DBs: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Python, SQL, </w:t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</w:t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SON</w:t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,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PowerShell, JavaScript, TypeScript, Bash, PostgreSQL, MySQL, SQLite, Supabase</w:t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Windows,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CI/CD (GitHub Actions)</w:t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Tools: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                           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production incidents using log analysis, SQL queries, and API debugging </w:t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with 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Postman, isolating root cause and validating fixes in live environments.</w:t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Monitored nightly ETL jobs syncing data from 22 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carrier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/</w:t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vendo</w:t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feeds into a production database, triaging failures and building a Python reconciliation script that reduced monthly close prep from 5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hours to 40 minutes.</w:t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onboarding from 4 hours to 45 minutes.</w:t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Built, deployed, and operate a production multi-tenant SaaS platform supporting client intake, inventory tracking, reporting, and RBAC across 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three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food bank locations.</w:t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