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ACME FINANCIAL HOLDINGS, INC.  |  LEGAL DEPARTMENT  |  1 WACKER PLAZA, SUITE 3800, CHICAGO, IL 60601</w:t>
      </w:r>
    </w:p>
    <w:p>
      <w:r>
        <w:rPr>
          <w:b/>
        </w:rPr>
        <w:t>MASTER SERVICES AGREEMENT</w:t>
      </w:r>
    </w:p>
    <w:p>
      <w:r>
        <w:t>This Master Services Agreement (this "Agreement") is entered into as of 18 March 2026 (the "Effective Date") by and between Acme Financial Holdings, Inc., a Delaware corporation with offices at 1 Wacker Plaza, Suite 3800, Chicago, IL 60601 ("Provider"), and Brightwater Logistics, Inc., organised under the laws of Delaware with offices at 1420 Harbor Point Drive, Wilmington, DE 19801 ("Customer"). Provider and Customer are each a "Party" and together the "Parties".</w:t>
      </w:r>
    </w:p>
    <w:p>
      <w:pPr>
        <w:pStyle w:val="Heading2"/>
      </w:pPr>
      <w:r>
        <w:t>1. Services and Statements of Work</w:t>
      </w:r>
    </w:p>
    <w:p>
      <w:r>
        <w:t>1.1  Provider shall provide managed payment processing, settlement and reconciliation services (the "Services"). The specific Services, deliverables, acceptance criteria and fees shall be described in one or more statements of work executed by both Parties and incorporated into this Agreement by reference (each, a "Statement of Work" or "SOW").</w:t>
      </w:r>
    </w:p>
    <w:p>
      <w:r>
        <w:t>1.2  This Agreement governs all Statements of Work. In the event of a conflict between this Agreement and any Statement of Work, this Agreement shall control except where the Statement of Work expressly states that it amends a specified section of this Agreement.</w:t>
      </w:r>
    </w:p>
    <w:p>
      <w:r>
        <w:t>1.3  No Statement of Work shall be effective unless signed by an authorised representative of each Party.</w:t>
      </w:r>
    </w:p>
    <w:p>
      <w:pPr>
        <w:pStyle w:val="Heading2"/>
      </w:pPr>
      <w:r>
        <w:t>2. Term and Termination</w:t>
      </w:r>
    </w:p>
    <w:p>
      <w:r>
        <w:t>2.1  The initial term of this Agreement is 36 months from the Effective Date and shall renew automatically for successive twelve (12) month periods unless either Party gives written notice of non-renewal at least 60 days before the end of the then-current term.</w:t>
      </w:r>
    </w:p>
    <w:p>
      <w:r>
        <w:t>2.2  Either Party may terminate this Agreement for material breach on thirty (30) days' written notice if the breach remains uncured at the end of that period. Termination of this Agreement terminates all outstanding Statements of Work unless the Parties agree otherwise in writing.</w:t>
      </w:r>
    </w:p>
    <w:p>
      <w:pPr>
        <w:pStyle w:val="Heading2"/>
      </w:pPr>
      <w:r>
        <w:t>3. Fees, Invoicing and Payment</w:t>
      </w:r>
    </w:p>
    <w:p>
      <w:r>
        <w:t>3.1  Customer shall pay the fees set out in each Statement of Work. Committed annual spend under this Agreement as of the Effective Date is $1,015,000.</w:t>
      </w:r>
    </w:p>
    <w:p>
      <w:r>
        <w:t>3.2  Provider shall invoice monthly in arrears. Undisputed invoices are payable within forty-five (45) days of receipt. Amounts not paid when due accrue interest at 1.0% per month or the maximum rate permitted by law, whichever is lower.</w:t>
      </w:r>
    </w:p>
    <w:p>
      <w:r>
        <w:t>3.3  Remittance details: Routing Number: 090618978, Account Number: 772613907337, Phone: (864) 366-2545.</w:t>
      </w:r>
    </w:p>
    <w:p>
      <w:r>
        <w:t>3.4  Fees are exclusive of taxes. Customer is responsible for all sales, use and value-added taxes other than taxes on Provider's net income.</w:t>
      </w:r>
    </w:p>
    <w:p>
      <w:pPr>
        <w:pStyle w:val="Heading2"/>
      </w:pPr>
      <w:r>
        <w:t>4. Confidentiality</w:t>
      </w:r>
    </w:p>
    <w:p>
      <w:r>
        <w:t>4.1  Each Party shall protect the other's Confidential Information using no less than reasonable care and shall not disclose it except to employees, advisers and contractors with a need to know who are bound by obligations no less protective than these.</w:t>
      </w:r>
    </w:p>
    <w:p>
      <w:r>
        <w:t>4.2  These obligations survive termination for five (5) years, and indefinitely with respect to trade secrets.</w:t>
      </w:r>
    </w:p>
    <w:p>
      <w:pPr>
        <w:pStyle w:val="Heading2"/>
      </w:pPr>
      <w:r>
        <w:t>5. Intellectual Property</w:t>
      </w:r>
    </w:p>
    <w:p>
      <w:r>
        <w:t>5.1  Each Party retains all right, title and interest in its pre-existing intellectual property. Provider grants Customer a non-exclusive, non-transferable licence to use the Services during the term.</w:t>
      </w:r>
    </w:p>
    <w:p>
      <w:r>
        <w:t>5.2  Deliverables specifically created for Customer and identified as work product in a Statement of Work shall be owned by Customer upon full payment, excluding Provider's underlying platform, tooling and know-how.</w:t>
      </w:r>
    </w:p>
    <w:p>
      <w:pPr>
        <w:pStyle w:val="Heading2"/>
      </w:pPr>
      <w:r>
        <w:t>6. Data Protection</w:t>
      </w:r>
    </w:p>
    <w:p>
      <w:r>
        <w:t>6.1  Where Provider processes personal data on Customer's behalf, the Parties shall execute a data processing addendum, which upon execution forms part of this Agreement.</w:t>
      </w:r>
    </w:p>
    <w:p>
      <w:pPr>
        <w:pStyle w:val="Heading2"/>
      </w:pPr>
      <w:r>
        <w:t>7. Warranties and Disclaimer</w:t>
      </w:r>
    </w:p>
    <w:p>
      <w:r>
        <w:t>7.1  Provider warrants that the Services will be performed in a professional and workmanlike manner in accordance with the applicable Statement of Work.</w:t>
      </w:r>
    </w:p>
    <w:p>
      <w:r>
        <w:t>7.2  EXCEPT AS EXPRESSLY STATED, THE SERVICES ARE PROVIDED "AS IS" AND PROVIDER DISCLAIMS ALL OTHER WARRANTIES, EXPRESS OR IMPLIED.</w:t>
      </w:r>
    </w:p>
    <w:p>
      <w:pPr>
        <w:pStyle w:val="Heading2"/>
      </w:pPr>
      <w:r>
        <w:t>8. Indemnification</w:t>
      </w:r>
    </w:p>
    <w:p>
      <w:r>
        <w:t>8.1  Provider shall defend and indemnify Customer against third-party claims that the Services infringe a patent, copyright or trade secret.</w:t>
      </w:r>
    </w:p>
    <w:p>
      <w:r>
        <w:t>8.2  Customer shall defend and indemnify Provider against third-party claims arising from Customer Data or Customer's use of the Services in breach of this Agreement.</w:t>
      </w:r>
    </w:p>
    <w:p>
      <w:pPr>
        <w:pStyle w:val="Heading2"/>
      </w:pPr>
      <w:r>
        <w:t>9. Limitation of Liability</w:t>
      </w:r>
    </w:p>
    <w:p>
      <w:r>
        <w:t>9.1  NEITHER PARTY SHALL BE LIABLE FOR INDIRECT, INCIDENTAL, SPECIAL OR CONSEQUENTIAL DAMAGES.</w:t>
      </w:r>
    </w:p>
    <w:p>
      <w:r>
        <w:t>9.2  Each Party's aggregate liability under this Agreement shall not exceed $1,000,000, except for breaches of confidentiality, indemnification obligations, or a Party's gross negligence or wilful misconduct.</w:t>
      </w:r>
    </w:p>
    <w:p>
      <w:pPr>
        <w:pStyle w:val="Heading2"/>
      </w:pPr>
      <w:r>
        <w:t>10. Insurance</w:t>
      </w:r>
    </w:p>
    <w:p>
      <w:r>
        <w:t>10.1  Provider shall maintain commercial general liability, professional liability and cyber liability coverage of not less than $5,000,000 per occurrence during the term.</w:t>
      </w:r>
    </w:p>
    <w:p>
      <w:pPr>
        <w:pStyle w:val="Heading2"/>
      </w:pPr>
      <w:r>
        <w:t>11. Governing Law and Disputes</w:t>
      </w:r>
    </w:p>
    <w:p>
      <w:r>
        <w:t>11.1  This Agreement is governed by the laws of the State of Illinois without regard to its conflict of laws rules. The Parties consent to the exclusive jurisdiction of the state and federal courts located in Cook County, Illinois.</w:t>
      </w:r>
    </w:p>
    <w:p>
      <w:pPr>
        <w:pStyle w:val="Heading2"/>
      </w:pPr>
      <w:r>
        <w:t>12. General</w:t>
      </w:r>
    </w:p>
    <w:p>
      <w:r>
        <w:t>12.1  Neither Party may assign this Agreement without the other's written consent, except to a successor in interest.</w:t>
      </w:r>
    </w:p>
    <w:p>
      <w:r>
        <w:t>12.2  This Agreement, together with all Statements of Work and addenda, is the entire agreement between the Parties and supersedes all prior proposals and understandings relating to its subject matter.</w:t>
      </w:r>
    </w:p>
    <w:p>
      <w:r>
        <w:t>12.3  Notices must be in writing and delivered to the addresses above, attention: General Counsel.</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Paul Johnson    Title: General Counsel</w:t>
      </w:r>
    </w:p>
    <w:p/>
    <w:p>
      <w:r>
        <w:t>Brightwater Logistics, Inc.</w:t>
      </w:r>
    </w:p>
    <w:p>
      <w:r>
        <w:t>By: ____________________________    Name: Barbara Walker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