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22 October 2026 (the "Effective Date") by and between Acme Financial Holdings, Inc., a Delaware corporation with offices at 1 Wacker Plaza, Suite 3800, Chicago, IL 60601 ("Provider"), and Pinehurst Medical Group, LLC, organised under the laws of North Carolina with offices at 905 Cardinal Way, Raleigh, NC 27601 ("Customer"). Provider and Customer are each a "Party" and together the "Parties".</w:t>
      </w:r>
    </w:p>
    <w:p>
      <w:pPr>
        <w:pStyle w:val="Heading2"/>
      </w:pPr>
      <w:r>
        <w:t>1. Services and Statements of Work</w:t>
      </w:r>
    </w:p>
    <w:p>
      <w:r>
        <w:t>1.1  Provider shall provide claims intake, adjudication support and provider reconciliation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36 months from the Effective Date and shall renew automatically for successive twelve (12) month periods unless either Party gives written notice of non-renewal at least 60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$1,010,000.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190432614, Account Number: 27917037189, Phone: (206) 732-2257.</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Charles King    Title: General Counsel</w:t>
      </w:r>
    </w:p>
    <w:p/>
    <w:p>
      <w:r>
        <w:t>Pinehurst Medical Group, LLC</w:t>
      </w:r>
    </w:p>
    <w:p>
      <w:r>
        <w:t>By: ____________________________    Name: Matthew Perez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