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- NOT FOR RELEASE</w:t>
      </w:r>
    </w:p>
    <w:p>
      <w:r>
        <w:rPr>
          <w:b/>
        </w:rPr>
        <w:t>EMBARGOED UNTIL 16:05 ET, 4 FEBRUARY 2027. MATERIAL NONPUBLIC INFORMATION.</w:t>
      </w:r>
    </w:p>
    <w:p>
      <w:pPr>
        <w:pStyle w:val="Heading2"/>
      </w:pPr>
      <w:r>
        <w:t>Acme Financial Reports Fourth Quarter and Full Year 2026 Results</w:t>
      </w:r>
    </w:p>
    <w:p>
      <w:r>
        <w:t>Acme Financial Holdings today reported results for the quarter and year ended 31 December 2026. Fourth quarter revenue was $412.7 million, an increase of 18.4% year over year, ahead of the guidance range of $395-405 million issued in November.</w:t>
      </w:r>
    </w:p>
    <w:p>
      <w:r>
        <w:t>GAAP operating income was $61.3 million, compared with $38.9 million in the prior-year quarter. Non-GAAP operating margin expanded 310 basis points to 21.7%. Diluted earnings per share were $0.94 on a GAAP basis and $1.21 on a non-GAAP basis.</w:t>
      </w:r>
    </w:p>
    <w:p>
      <w:r>
        <w:t>Full year revenue was $1.53 billion, up 16.1%. Free cash flow was $284.6 million, representing a conversion rate of 92% of non-GAAP net income.</w:t>
      </w:r>
    </w:p>
    <w:p>
      <w:pPr>
        <w:pStyle w:val="Heading2"/>
      </w:pPr>
      <w:r>
        <w:t>Guidance</w:t>
      </w:r>
    </w:p>
    <w:p>
      <w:r>
        <w:t>For the first quarter of 2027 the Company expects revenue of $421-431 million and non-GAAP operating margin of 21.0-22.0%. For the full year 2027 the Company expects revenue of $1.78-1.81 billion.</w:t>
      </w:r>
    </w:p>
    <w:p>
      <w:pPr>
        <w:pStyle w:val="Heading2"/>
      </w:pPr>
      <w:r>
        <w:t>Board actions not yet disclosed</w:t>
      </w:r>
    </w:p>
    <w:p>
      <w:r>
        <w:t>The Board has authorised a $250 million share repurchase programme, to be announced concurrently with this release, and has approved the impairment of $47.2 million of goodwill associated with the 2024 acquisition.</w:t>
      </w:r>
    </w:p>
    <w:p>
      <w:r>
        <w:rPr>
          <w:b/>
        </w:rPr>
        <w:t>Distribution of this draft outside Finance, Legal and Investor Relations is a violation of the Company's insider trading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