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Kingfisher - Board Update</w:t>
      </w:r>
    </w:p>
    <w:p>
      <w:r>
        <w:rPr>
          <w:b/>
        </w:rPr>
        <w:t>RESTRICTED - INSIDER LIST ONLY. Recipients are on the Company's insider list for this transaction and are subject to dealing restrictions.</w:t>
      </w:r>
    </w:p>
    <w:p>
      <w:r>
        <w:t>Target: EMEA payments processor, enterprise value approximately EUR 340 million.</w:t>
      </w:r>
    </w:p>
    <w:p>
      <w:r>
        <w:t>Indicative range EUR 310-355 million, implying 4.1x forward revenue. Diligence is complete with no material adverse findings. SPA drafting is underway with signing targeted for the week of 22 March 2027.</w:t>
      </w:r>
    </w:p>
    <w:p>
      <w:r>
        <w:t>Financing is committed: EUR 180 million cash on hand, EUR 160 million from the revolving facility. No equity issuance is contemplated.</w:t>
      </w:r>
    </w:p>
    <w:p>
      <w:r>
        <w:t>Retention packages for the target's senior team total EUR 11.4 million over three years and are not yet disclosed to the target's employees.</w:t>
      </w:r>
    </w:p>
    <w:p>
      <w:r>
        <w:rPr>
          <w:b/>
        </w:rPr>
        <w:t>Do not forward. Do not discuss outside the deal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