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Processing Addendum</w:t>
      </w:r>
    </w:p>
    <w:p>
      <w:r>
        <w:t>ACME FINANCIAL HOLDINGS, INC.  |  LEGAL DEPARTMENT  |  1 WACKER PLAZA, SUITE 3800, CHICAGO, IL 60601</w:t>
      </w:r>
    </w:p>
    <w:p>
      <w:r>
        <w:rPr>
          <w:b/>
        </w:rPr>
        <w:t>DATA PROCESSING ADDENDUM</w:t>
      </w:r>
    </w:p>
    <w:p>
      <w:r>
        <w:t>This Data Processing Addendum ("DPA") supplements the agreement between Acme Financial Holdings, Inc. ("Processor") and Cobourg Financial Services Ltd. ("Controller") and applies where Processor processes Personal Data on Controller's behalf.</w:t>
      </w:r>
    </w:p>
    <w:p>
      <w:pPr>
        <w:pStyle w:val="Heading2"/>
      </w:pPr>
      <w:r>
        <w:t>1. Definitions</w:t>
      </w:r>
    </w:p>
    <w:p>
      <w:r>
        <w:t>1.1  "Personal Data", "processing", "controller", "processor" and "data subject" have the meanings given in Regulation (EU) 2016/679 (GDPR).</w:t>
      </w:r>
    </w:p>
    <w:p>
      <w:pPr>
        <w:pStyle w:val="Heading2"/>
      </w:pPr>
      <w:r>
        <w:t>2. Scope and Roles</w:t>
      </w:r>
    </w:p>
    <w:p>
      <w:r>
        <w:t>2.1  Controller determines the purposes and means of processing. Processor processes Personal Data only on documented instructions from Controller.</w:t>
      </w:r>
    </w:p>
    <w:p>
      <w:r>
        <w:t>2.2  Annex I sets out the subject matter, duration, nature and purpose of processing, the categories of data subject and the categories of Personal Data.</w:t>
      </w:r>
    </w:p>
    <w:p>
      <w:pPr>
        <w:pStyle w:val="Heading2"/>
      </w:pPr>
      <w:r>
        <w:t>3. Confidentiality and Personnel</w:t>
      </w:r>
    </w:p>
    <w:p>
      <w:r>
        <w:t>3.1  Processor ensures that persons authorised to process Personal Data are bound by confidentiality obligations.</w:t>
      </w:r>
    </w:p>
    <w:p>
      <w:pPr>
        <w:pStyle w:val="Heading2"/>
      </w:pPr>
      <w:r>
        <w:t>4. Security</w:t>
      </w:r>
    </w:p>
    <w:p>
      <w:r>
        <w:t>4.1  Processor implements the technical and organisational measures set out in Annex II, including encryption in transit and at rest, access control, logging and regular testing.</w:t>
      </w:r>
    </w:p>
    <w:p>
      <w:pPr>
        <w:pStyle w:val="Heading2"/>
      </w:pPr>
      <w:r>
        <w:t>5. Sub-processors</w:t>
      </w:r>
    </w:p>
    <w:p>
      <w:r>
        <w:t>5.1  Controller grants general authorisation for the sub-processors listed in Annex III. Processor shall give thirty (30) days' notice of any intended change and Controller may object on reasonable data-protection grounds.</w:t>
      </w:r>
    </w:p>
    <w:p>
      <w:pPr>
        <w:pStyle w:val="Heading2"/>
      </w:pPr>
      <w:r>
        <w:t>6. Data Subject Rights</w:t>
      </w:r>
    </w:p>
    <w:p>
      <w:r>
        <w:t>6.1  Processor shall assist Controller by appropriate technical and organisational measures in responding to data subject requests.</w:t>
      </w:r>
    </w:p>
    <w:p>
      <w:pPr>
        <w:pStyle w:val="Heading2"/>
      </w:pPr>
      <w:r>
        <w:t>7. Personal Data Breach</w:t>
      </w:r>
    </w:p>
    <w:p>
      <w:r>
        <w:t>7.1  Processor shall notify Controller without undue delay and in any event within forty-eight (48) hours of becoming aware of a Personal Data Breach.</w:t>
      </w:r>
    </w:p>
    <w:p>
      <w:pPr>
        <w:pStyle w:val="Heading2"/>
      </w:pPr>
      <w:r>
        <w:t>8. International Transfers</w:t>
      </w:r>
    </w:p>
    <w:p>
      <w:r>
        <w:t>8.1  Transfers outside the EEA rely on the Standard Contractual Clauses (Commission Implementing Decision (EU) 2021/914), Module Two, incorporated by reference.</w:t>
      </w:r>
    </w:p>
    <w:p>
      <w:pPr>
        <w:pStyle w:val="Heading2"/>
      </w:pPr>
      <w:r>
        <w:t>9. Audit</w:t>
      </w:r>
    </w:p>
    <w:p>
      <w:r>
        <w:t>9.1  Processor shall make available information necessary to demonstrate compliance and allow for audits no more than once per year on thirty (30) days' notice.</w:t>
      </w:r>
    </w:p>
    <w:p>
      <w:pPr>
        <w:pStyle w:val="Heading2"/>
      </w:pPr>
      <w:r>
        <w:t>10. Deletion and Return</w:t>
      </w:r>
    </w:p>
    <w:p>
      <w:r>
        <w:t>10.1  On termination, Processor shall delete or return Personal Data at Controller's election, subject to legal retention requirements.</w:t>
      </w:r>
    </w:p>
    <w:p>
      <w:pPr>
        <w:pStyle w:val="Heading2"/>
      </w:pPr>
      <w:r>
        <w:t>Annex I - Details of Processing</w:t>
      </w:r>
    </w:p>
    <w:p>
      <w:r>
        <w:t>Subject matter: provision of regulatory reporting, transaction monitoring and case management services. Duration: the term of the underlying agreement. Categories of data subject: Controller's customers and employees. Categories of Personal Data: identifiers, contact details, transaction records.</w:t>
      </w:r>
    </w:p>
    <w:p>
      <w:pPr>
        <w:pStyle w:val="Heading2"/>
      </w:pPr>
      <w:r>
        <w:t>IN WITNESS WHEREOF</w:t>
      </w:r>
    </w:p>
    <w:p>
      <w:r>
        <w:t>The parties have executed this document by their duly authorised representatives as of the Effective Date.</w:t>
      </w:r>
    </w:p>
    <w:p/>
    <w:p>
      <w:r>
        <w:t>Acme Financial Holdings, Inc.</w:t>
      </w:r>
    </w:p>
    <w:p>
      <w:r>
        <w:t>By: ____________________________    Name: Patricia Garcia    Title: General Counsel</w:t>
      </w:r>
    </w:p>
    <w:p/>
    <w:p>
      <w:r>
        <w:t>Cobourg Financial Services Ltd.</w:t>
      </w:r>
    </w:p>
    <w:p>
      <w:r>
        <w:t>By: ____________________________    Name: Robert Wilson    Title: Authorised Signatory</w:t>
      </w:r>
    </w:p>
    <w:p/>
    <w:p>
      <w:r>
        <w:t>Acme Legal - Document Control. This document is confidential and is intended only for the parties named above. Template revision 2026.3.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