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ACME FINANCIAL HOLDINGS, INC.  |  LEGAL DEPARTMENT  |  1 WACKER PLAZA, SUITE 3800, CHICAGO, IL 60601</w:t>
      </w:r>
    </w:p>
    <w:p>
      <w:r>
        <w:rPr>
          <w:b/>
        </w:rPr>
        <w:t>MUTUAL NON-DISCLOSURE AGREEMENT</w:t>
      </w:r>
    </w:p>
    <w:p>
      <w:r>
        <w:t>This Mutual Non-Disclosure Agreement (this "Agreement") is entered into as of 6 February 2026 by and between Acme Financial Holdings, Inc., a Delaware corporation with offices at 1 Wacker Plaza, Suite 3800, Chicago, IL 60601, and Pinehurst Medical Group, LLC, organised under the laws of North Carolina with offices at 905 Cardinal Way, Raleigh, NC 27601.</w:t>
      </w:r>
    </w:p>
    <w:p>
      <w:r>
        <w:t>The Parties wish to explore a potential business relationship (the "Purpose") and in connection with it may disclose confidential information to one another.</w:t>
      </w:r>
    </w:p>
    <w:p>
      <w:pPr>
        <w:pStyle w:val="Heading2"/>
      </w:pPr>
      <w:r>
        <w:t>1. Confidential Information</w:t>
      </w:r>
    </w:p>
    <w:p>
      <w:r>
        <w:t>1.1  "Confidential Information" means non-public information disclosed by one Party to the other, whether orally, visually or in writing, that is identified as confidential or would reasonably be understood to be confidential given its nature and the circumstances of disclosure.</w:t>
      </w:r>
    </w:p>
    <w:p>
      <w:r>
        <w:t>1.2  Confidential Information does not include information that is or becomes public through no fault of the receiving Party, was known to the receiving Party without restriction before disclosure, or is independently developed without reference to the disclosing Party's information.</w:t>
      </w:r>
    </w:p>
    <w:p>
      <w:pPr>
        <w:pStyle w:val="Heading2"/>
      </w:pPr>
      <w:r>
        <w:t>2. Obligations</w:t>
      </w:r>
    </w:p>
    <w:p>
      <w:r>
        <w:t>2.1  The receiving Party shall use Confidential Information solely for the Purpose, shall protect it using no less than reasonable care, and shall limit access to those with a need to know.</w:t>
      </w:r>
    </w:p>
    <w:p>
      <w:r>
        <w:t>2.2  The receiving Party may disclose Confidential Information to the extent required by law, provided it gives prompt notice where lawful.</w:t>
      </w:r>
    </w:p>
    <w:p>
      <w:pPr>
        <w:pStyle w:val="Heading2"/>
      </w:pPr>
      <w:r>
        <w:t>3. No Licence, No Obligation</w:t>
      </w:r>
    </w:p>
    <w:p>
      <w:r>
        <w:t>3.1  Nothing in this Agreement grants any licence to intellectual property.</w:t>
      </w:r>
    </w:p>
    <w:p>
      <w:r>
        <w:t>3.2  Nothing in this Agreement obliges either Party to enter into any further agreement or transaction, and no Statement of Work is created by it.</w:t>
      </w:r>
    </w:p>
    <w:p>
      <w:pPr>
        <w:pStyle w:val="Heading2"/>
      </w:pPr>
      <w:r>
        <w:t>4. Term</w:t>
      </w:r>
    </w:p>
    <w:p>
      <w:r>
        <w:t>4.1  This Agreement continues for two (2) years. Confidentiality obligations survive for three (3) years from the date of disclosure, and indefinitely for trade secrets.</w:t>
      </w:r>
    </w:p>
    <w:p>
      <w:pPr>
        <w:pStyle w:val="Heading2"/>
      </w:pPr>
      <w:r>
        <w:t>5. Return and Destruction</w:t>
      </w:r>
    </w:p>
    <w:p>
      <w:r>
        <w:t>5.1  On request, the receiving Party shall return or destroy Confidential Information, subject to routine backup retention and legal hold obligations.</w:t>
      </w:r>
    </w:p>
    <w:p>
      <w:pPr>
        <w:pStyle w:val="Heading2"/>
      </w:pPr>
      <w:r>
        <w:t>6. Remedies</w:t>
      </w:r>
    </w:p>
    <w:p>
      <w:r>
        <w:t>6.1  The Parties acknowledge that damages may be inadequate and that injunctive relief may be sought without posting bond.</w:t>
      </w:r>
    </w:p>
    <w:p>
      <w:pPr>
        <w:pStyle w:val="Heading2"/>
      </w:pPr>
      <w:r>
        <w:t>7. Governing Law</w:t>
      </w:r>
    </w:p>
    <w:p>
      <w:r>
        <w:t>7.1  This Agreement is governed by the laws of the State of Illinois. The Parties consent to the exclusive jurisdiction of the courts of Cook County, Illinois.</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Susan White    Title: General Counsel</w:t>
      </w:r>
    </w:p>
    <w:p/>
    <w:p>
      <w:r>
        <w:t>Pinehurst Medical Group, LLC</w:t>
      </w:r>
    </w:p>
    <w:p>
      <w:r>
        <w:t>By: ____________________________    Name: Richard Robinson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