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w:t>
      </w:r>
    </w:p>
    <w:p>
      <w:r>
        <w:t>ACME FINANCIAL HOLDINGS, INC.  |  LEGAL DEPARTMENT  |  1 WACKER PLAZA, SUITE 3800, CHICAGO, IL 60601</w:t>
      </w:r>
    </w:p>
    <w:p>
      <w:r>
        <w:rPr>
          <w:b/>
        </w:rPr>
        <w:t>STATEMENT OF WORK NO. 2</w:t>
      </w:r>
    </w:p>
    <w:p>
      <w:r>
        <w:t>This Statement of Work ("SOW") is issued under and governed by the Master Services Agreement between Acme Financial Holdings, Inc. ("Provider") and Stonebridge Utilities Co. ("Customer") dated 10 May 2026 (the "Master Services Agreement"). Capitalised terms not defined here have the meanings given in the Master Services Agreement.</w:t>
      </w:r>
    </w:p>
    <w:p>
      <w:pPr>
        <w:pStyle w:val="Heading2"/>
      </w:pPr>
      <w:r>
        <w:t>1. Scope of this SOW</w:t>
      </w:r>
    </w:p>
    <w:p>
      <w:r>
        <w:t>1.1  Provider shall deliver the following in respect of meter data management, billing calculation and customer notification services:</w:t>
      </w:r>
    </w:p>
    <w:p>
      <w:r>
        <w:t xml:space="preserve">  (a) discovery and current-state assessment;</w:t>
      </w:r>
    </w:p>
    <w:p>
      <w:r>
        <w:t xml:space="preserve">  (b) environment provisioning in two regions;</w:t>
      </w:r>
    </w:p>
    <w:p>
      <w:r>
        <w:t xml:space="preserve">  (c) integration with Customer's existing identity provider;</w:t>
      </w:r>
    </w:p>
    <w:p>
      <w:r>
        <w:t xml:space="preserve">  (d) two rounds of user acceptance testing support;</w:t>
      </w:r>
    </w:p>
    <w:p>
      <w:r>
        <w:t xml:space="preserve">  (e) production cutover and thirty (30) days of hypercare.</w:t>
      </w:r>
    </w:p>
    <w:p>
      <w:pPr>
        <w:pStyle w:val="Heading2"/>
      </w:pPr>
      <w:r>
        <w:t>2. Deliverables and Acceptance</w:t>
      </w:r>
    </w:p>
    <w:p>
      <w:r>
        <w:t>2.1  Each deliverable is deemed accepted ten (10) business days after delivery unless Customer gives written notice of non-conformance.</w:t>
      </w:r>
    </w:p>
    <w:p>
      <w:pPr>
        <w:pStyle w:val="Heading2"/>
      </w:pPr>
      <w:r>
        <w:t>3. Project Schedule</w:t>
      </w:r>
    </w:p>
    <w:p>
      <w:r>
        <w:t>3.1  Kick-off within fifteen (15) days of signature; discovery complete at week 4; integration complete at week 10; cutover at week 14.</w:t>
      </w:r>
    </w:p>
    <w:p>
      <w:pPr>
        <w:pStyle w:val="Heading2"/>
      </w:pPr>
      <w:r>
        <w:t>4. Fees for this SOW</w:t>
      </w:r>
    </w:p>
    <w:p>
      <w:r>
        <w:t>4.1  Total fixed fee: $100,000, invoiced 30% at kick-off, 40% at integration complete, 30% at acceptance. Travel is billed at cost with prior approval.</w:t>
      </w:r>
    </w:p>
    <w:p>
      <w:pPr>
        <w:pStyle w:val="Heading2"/>
      </w:pPr>
      <w:r>
        <w:t>5. Assumptions</w:t>
      </w:r>
    </w:p>
    <w:p>
      <w:r>
        <w:t>5.1  Customer will provide test data, environment access and a named project sponsor within five (5) business days of kick-off.</w:t>
      </w:r>
    </w:p>
    <w:p>
      <w:pPr>
        <w:pStyle w:val="Heading2"/>
      </w:pPr>
      <w:r>
        <w:t>6. Change Control</w:t>
      </w:r>
    </w:p>
    <w:p>
      <w:r>
        <w:t>6.1  Changes to scope, schedule or fees require a written change order signed by both Parties. This SOW does not amend the Master Services Agreement.</w:t>
      </w:r>
    </w:p>
    <w:p>
      <w:pPr>
        <w:pStyle w:val="Heading2"/>
      </w:pPr>
      <w:r>
        <w:t>7. Key Personnel</w:t>
      </w:r>
    </w:p>
    <w:p>
      <w:r>
        <w:t>7.1  Provider's engagement lead is Steven Taylor. Customer's sponsor is Kevin White.</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Steven Taylor    Title: General Counsel</w:t>
      </w:r>
    </w:p>
    <w:p/>
    <w:p>
      <w:r>
        <w:t>Stonebridge Utilities Co.</w:t>
      </w:r>
    </w:p>
    <w:p>
      <w:r>
        <w:t>By: ____________________________    Name: Kevin White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