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11 October 2026 (the "Effective Date") by and between Acme Financial Holdings, Inc., a Delaware corporation with offices at 1 Wacker Plaza, Suite 3800, Chicago, IL 60601 ("Provider"), and Kestrel Analytics Ltd., organised under the laws of England and Wales with offices at 18 Finsbury Circus, London EC2M 7EB ("Customer"). Provider and Customer are each a "Party" and together the "Parties".</w:t>
      </w:r>
    </w:p>
    <w:p>
      <w:pPr>
        <w:pStyle w:val="Heading2"/>
      </w:pPr>
      <w:r>
        <w:t>1. Services and Statements of Work</w:t>
      </w:r>
    </w:p>
    <w:p>
      <w:r>
        <w:t>1.1  Provider shall provide data platform hosting, ingestion pipelines and analytics tooling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36 months from the Effective Date and shall renew automatically for successive twelve (12) month periods unless either Party gives written notice of non-renewal at least 90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$360,000.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147866097, Account Number: 91074549071, Phone: (837) 747-1915.</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$500,000,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Sarah Carter    Title: General Counsel</w:t>
      </w:r>
    </w:p>
    <w:p/>
    <w:p>
      <w:r>
        <w:t>Kestrel Analytics Ltd.</w:t>
      </w:r>
    </w:p>
    <w:p>
      <w:r>
        <w:t>By: ____________________________    Name: Kenneth Scott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