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24 January 2026 (the "Effective Date") by and between Acme Financial Holdings, Inc., a Delaware corporation with offices at 1 Wacker Plaza, Suite 3800, Chicago, IL 60601 ("Provider"), and Vantage Freight Systems Corp., organised under the laws of Illinois with offices at 3300 South Canal Street, Chicago, IL 60616 ("Customer"). Provider and Customer are each a "Party" and together the "Parties".</w:t>
      </w:r>
    </w:p>
    <w:p>
      <w:pPr>
        <w:pStyle w:val="Heading2"/>
      </w:pPr>
      <w:r>
        <w:t>1. Services and Statements of Work</w:t>
      </w:r>
    </w:p>
    <w:p>
      <w:r>
        <w:t>1.1  Provider shall provide freight telemetry ingestion, routing optimisation and reporting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36 months from the Effective Date and shall renew automatically for successive twelve (12) month periods unless either Party gives written notice of non-renewal at least 90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$205,000.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051115151, Account Number: 7929318129, Phone: (945) 355-9158.</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$5,000,000,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Thomas Sanchez    Title: General Counsel</w:t>
      </w:r>
    </w:p>
    <w:p/>
    <w:p>
      <w:r>
        <w:t>Vantage Freight Systems Corp.</w:t>
      </w:r>
    </w:p>
    <w:p>
      <w:r>
        <w:t>By: ____________________________    Name: Emily Garcia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