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10 October 2026 (the "Effective Date") by and between Acme Financial Holdings, Inc., a Delaware corporation with offices at 1 Wacker Plaza, Suite 3800, Chicago, IL 60601 ("Provider"), and Aurelia Retail Holdings S.A., organised under the laws of Luxembourg with offices at 12 Rue Sainte-Zithe, L-2763 Luxembourg ("Customer"). Provider and Customer are each a "Party" and together the "Parties".</w:t>
      </w:r>
    </w:p>
    <w:p>
      <w:pPr>
        <w:pStyle w:val="Heading2"/>
      </w:pPr>
      <w:r>
        <w:t>1. Services and Statements of Work</w:t>
      </w:r>
    </w:p>
    <w:p>
      <w:r>
        <w:t>1.1  Provider shall provide point-of-sale integration, tokenisation and fraud-scoring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60 months from the Effective Date and shall renew automatically for successive twelve (12) month periods unless either Party gives written notice of non-renewal at least 30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$1,240,000.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087266595, Account Number: 629117918509, Phone: (795) 940-8326.</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$1,000,000,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Kenneth Jackson    Title: General Counsel</w:t>
      </w:r>
    </w:p>
    <w:p/>
    <w:p>
      <w:r>
        <w:t>Aurelia Retail Holdings S.A.</w:t>
      </w:r>
    </w:p>
    <w:p>
      <w:r>
        <w:t>By: ____________________________    Name: Barbara Nguyen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