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and Improving Concrete Compressive Strength</w:t>
      </w:r>
    </w:p>
    <w:p>
      <w:pPr>
        <w:pStyle w:val="Subtitle"/>
      </w:pPr>
      <w:r>
        <w:t xml:space="preserve">Report for Operations and Quality Assurance leadership, regional ready-mix concrete producer</w:t>
      </w:r>
    </w:p>
    <w:p>
      <w:pPr>
        <w:pStyle w:val="Author"/>
      </w:pPr>
      <w:r>
        <w:t xml:space="preserve">CSE 5104 Project 1</w:t>
      </w:r>
    </w:p>
    <w:p>
      <w:pPr>
        <w:pStyle w:val="Date"/>
      </w:pPr>
      <w:r>
        <w:t xml:space="preserve">October 2026</w:t>
      </w:r>
    </w:p>
    <w:bookmarkStart w:id="20" w:name="executive-summary"/>
    <w:p>
      <w:pPr>
        <w:pStyle w:val="Heading1"/>
      </w:pPr>
      <w:r>
        <w:t xml:space="preserve">Executive Summary</w:t>
      </w:r>
    </w:p>
    <w:p>
      <w:pPr>
        <w:pStyle w:val="FirstParagraph"/>
      </w:pPr>
      <w:r>
        <w:t xml:space="preserve">This report answers two questions for our client: can mix-design records predict how strong a batch of concrete will be, and which ingredients and practices matter most? We analyzed 1,030 laboratory-tested mixes. We built a prediction model from 900 and held back 130 as a blind test.</w:t>
      </w:r>
    </w:p>
    <w:p>
      <w:pPr>
        <w:pStyle w:val="BodyText"/>
      </w:pPr>
      <w:r>
        <w:t xml:space="preserve">The final model explains about</w:t>
      </w:r>
      <w:r>
        <w:t xml:space="preserve"> </w:t>
      </w:r>
      <w:r>
        <w:rPr>
          <w:b/>
          <w:bCs/>
        </w:rPr>
        <w:t xml:space="preserve">76% of the batch-to-batch variation in strength</w:t>
      </w:r>
      <w:r>
        <w:t xml:space="preserve"> </w:t>
      </w:r>
      <w:r>
        <w:t xml:space="preserve">on those unseen mixes (R² = 0.76). Its predictions typically land within about 7.4 MPa of the measured strength. That is good enough to screen new mix designs and flag batches for closer attention, but not to replace cylinder testing.</w:t>
      </w:r>
    </w:p>
    <w:bookmarkStart w:id="18" w:name="key-findings"/>
    <w:p>
      <w:pPr>
        <w:pStyle w:val="Heading2"/>
      </w:pPr>
      <w:r>
        <w:t xml:space="preserve">Key findings</w:t>
      </w:r>
    </w:p>
    <w:p>
      <w:pPr>
        <w:pStyle w:val="Compact"/>
        <w:numPr>
          <w:ilvl w:val="0"/>
          <w:numId w:val="1001"/>
        </w:numPr>
      </w:pPr>
      <w:r>
        <w:rPr>
          <w:b/>
          <w:bCs/>
        </w:rPr>
        <w:t xml:space="preserve">Water is the strongest lever.</w:t>
      </w:r>
      <w:r>
        <w:t xml:space="preserve"> </w:t>
      </w:r>
      <w:r>
        <w:t xml:space="preserve">Removing 10 kg/m³ of water from a typical mix adds about 2.2 MPa. Every 28-day mix with a water-to-cement ratio of 0.50 or lower reached 30 MPa.</w:t>
      </w:r>
    </w:p>
    <w:p>
      <w:pPr>
        <w:pStyle w:val="Compact"/>
        <w:numPr>
          <w:ilvl w:val="0"/>
          <w:numId w:val="1001"/>
        </w:numPr>
      </w:pPr>
      <w:r>
        <w:rPr>
          <w:b/>
          <w:bCs/>
        </w:rPr>
        <w:t xml:space="preserve">Cement helps, but less per kilogram.</w:t>
      </w:r>
      <w:r>
        <w:t xml:space="preserve"> </w:t>
      </w:r>
      <w:r>
        <w:t xml:space="preserve">An extra 50 kg/m³ of cement adds about 4.1 MPa.</w:t>
      </w:r>
    </w:p>
    <w:p>
      <w:pPr>
        <w:pStyle w:val="Compact"/>
        <w:numPr>
          <w:ilvl w:val="0"/>
          <w:numId w:val="1001"/>
        </w:numPr>
      </w:pPr>
      <w:r>
        <w:rPr>
          <w:b/>
          <w:bCs/>
        </w:rPr>
        <w:t xml:space="preserve">Superplasticizer pays off by cutting water.</w:t>
      </w:r>
      <w:r>
        <w:t xml:space="preserve"> </w:t>
      </w:r>
      <w:r>
        <w:t xml:space="preserve">Mixes that used it held 26 kg/m³ less water and were 7.8 MPa stronger on average.</w:t>
      </w:r>
    </w:p>
    <w:p>
      <w:pPr>
        <w:pStyle w:val="Compact"/>
        <w:numPr>
          <w:ilvl w:val="0"/>
          <w:numId w:val="1001"/>
        </w:numPr>
      </w:pPr>
      <w:r>
        <w:rPr>
          <w:b/>
          <w:bCs/>
        </w:rPr>
        <w:t xml:space="preserve">Curing time matters as much as the recipe.</w:t>
      </w:r>
      <w:r>
        <w:t xml:space="preserve"> </w:t>
      </w:r>
      <w:r>
        <w:t xml:space="preserve">A typical mix reaches only about 71% of its 28-day strength at 7 days.</w:t>
      </w:r>
    </w:p>
    <w:bookmarkEnd w:id="18"/>
    <w:bookmarkStart w:id="19" w:name="primary-recommendations"/>
    <w:p>
      <w:pPr>
        <w:pStyle w:val="Heading2"/>
      </w:pPr>
      <w:r>
        <w:t xml:space="preserve">Primary recommendations</w:t>
      </w:r>
    </w:p>
    <w:p>
      <w:pPr>
        <w:pStyle w:val="Compact"/>
        <w:numPr>
          <w:ilvl w:val="0"/>
          <w:numId w:val="1002"/>
        </w:numPr>
      </w:pPr>
      <w:r>
        <w:t xml:space="preserve">Cap the water-to-cement ratio at 0.50 for structural grades.</w:t>
      </w:r>
    </w:p>
    <w:p>
      <w:pPr>
        <w:pStyle w:val="Compact"/>
        <w:numPr>
          <w:ilvl w:val="0"/>
          <w:numId w:val="1002"/>
        </w:numPr>
      </w:pPr>
      <w:r>
        <w:t xml:space="preserve">Reduce water with superplasticizer before adding cement.</w:t>
      </w:r>
    </w:p>
    <w:p>
      <w:pPr>
        <w:pStyle w:val="Compact"/>
        <w:numPr>
          <w:ilvl w:val="0"/>
          <w:numId w:val="1002"/>
        </w:numPr>
      </w:pPr>
      <w:r>
        <w:t xml:space="preserve">Use slag as a partial cement replacement, backed by trial batches.</w:t>
      </w:r>
    </w:p>
    <w:p>
      <w:pPr>
        <w:pStyle w:val="Compact"/>
        <w:numPr>
          <w:ilvl w:val="0"/>
          <w:numId w:val="1002"/>
        </w:numPr>
      </w:pPr>
      <w:r>
        <w:t xml:space="preserve">Approve a mix only when its predicted strength exceeds the specification by at least 11 MPa.</w:t>
      </w:r>
    </w:p>
    <w:bookmarkEnd w:id="19"/>
    <w:bookmarkEnd w:id="20"/>
    <w:bookmarkStart w:id="28" w:name="problem-context-data-overview"/>
    <w:p>
      <w:pPr>
        <w:pStyle w:val="Heading1"/>
      </w:pPr>
      <w:r>
        <w:t xml:space="preserve">Problem Context &amp; Data Overview</w:t>
      </w:r>
    </w:p>
    <w:p>
      <w:pPr>
        <w:pStyle w:val="FirstParagraph"/>
      </w:pPr>
      <w:r>
        <w:rPr>
          <w:b/>
          <w:bCs/>
        </w:rPr>
        <w:t xml:space="preserve">Business goals.</w:t>
      </w:r>
      <w:r>
        <w:t xml:space="preserve"> </w:t>
      </w:r>
      <w:r>
        <w:t xml:space="preserve">The client has three priorities. The first is structural safety and contract compliance: every delivered batch must meet its specified strength. The second is material cost, since cement is the most expensive and most carbon-intensive ingredient. The third is schedule, because curing time determines when formwork can be stripped. A reliable strength prediction supports all three by flagging risky mixes before they are poured.</w:t>
      </w:r>
    </w:p>
    <w:bookmarkStart w:id="27" w:name="what-each-ingredient-does"/>
    <w:p>
      <w:pPr>
        <w:pStyle w:val="Heading2"/>
      </w:pPr>
      <w:r>
        <w:t xml:space="preserve">What each ingredient does</w:t>
      </w:r>
    </w:p>
    <w:p>
      <w:pPr>
        <w:pStyle w:val="Compact"/>
        <w:numPr>
          <w:ilvl w:val="0"/>
          <w:numId w:val="1003"/>
        </w:numPr>
      </w:pPr>
      <w:r>
        <w:rPr>
          <w:b/>
          <w:bCs/>
        </w:rPr>
        <w:t xml:space="preserve">Cement</w:t>
      </w:r>
      <w:r>
        <w:t xml:space="preserve"> </w:t>
      </w:r>
      <w:r>
        <w:t xml:space="preserve">is the binder. It reacts with water to form a paste that glues the aggregates together.</w:t>
      </w:r>
    </w:p>
    <w:p>
      <w:pPr>
        <w:pStyle w:val="Compact"/>
        <w:numPr>
          <w:ilvl w:val="0"/>
          <w:numId w:val="1003"/>
        </w:numPr>
      </w:pPr>
      <w:r>
        <w:rPr>
          <w:b/>
          <w:bCs/>
        </w:rPr>
        <w:t xml:space="preserve">Water</w:t>
      </w:r>
      <w:r>
        <w:t xml:space="preserve"> </w:t>
      </w:r>
      <w:r>
        <w:t xml:space="preserve">drives that reaction and makes the mix workable, but any excess leaves pores as it evaporates, weakening the concrete.</w:t>
      </w:r>
    </w:p>
    <w:p>
      <w:pPr>
        <w:pStyle w:val="Compact"/>
        <w:numPr>
          <w:ilvl w:val="0"/>
          <w:numId w:val="1003"/>
        </w:numPr>
      </w:pPr>
      <w:r>
        <w:rPr>
          <w:b/>
          <w:bCs/>
        </w:rPr>
        <w:t xml:space="preserve">Blast furnace slag and fly ash</w:t>
      </w:r>
      <w:r>
        <w:t xml:space="preserve"> </w:t>
      </w:r>
      <w:r>
        <w:t xml:space="preserve">are industrial by-products that partly replace cement at lower cost and carbon, though they react more slowly.</w:t>
      </w:r>
    </w:p>
    <w:p>
      <w:pPr>
        <w:pStyle w:val="Compact"/>
        <w:numPr>
          <w:ilvl w:val="0"/>
          <w:numId w:val="1003"/>
        </w:numPr>
      </w:pPr>
      <w:r>
        <w:rPr>
          <w:b/>
          <w:bCs/>
        </w:rPr>
        <w:t xml:space="preserve">Superplasticizer</w:t>
      </w:r>
      <w:r>
        <w:t xml:space="preserve"> </w:t>
      </w:r>
      <w:r>
        <w:t xml:space="preserve">is a chemical additive that makes concrete flow with less water.</w:t>
      </w:r>
    </w:p>
    <w:p>
      <w:pPr>
        <w:pStyle w:val="Compact"/>
        <w:numPr>
          <w:ilvl w:val="0"/>
          <w:numId w:val="1003"/>
        </w:numPr>
      </w:pPr>
      <w:r>
        <w:rPr>
          <w:b/>
          <w:bCs/>
        </w:rPr>
        <w:t xml:space="preserve">Coarse and fine aggregates</w:t>
      </w:r>
      <w:r>
        <w:t xml:space="preserve"> </w:t>
      </w:r>
      <w:r>
        <w:t xml:space="preserve">(gravel and sand) fill most of the volume, adding bulk and stiffness at low cost.</w:t>
      </w:r>
    </w:p>
    <w:p>
      <w:pPr>
        <w:pStyle w:val="Compact"/>
        <w:numPr>
          <w:ilvl w:val="0"/>
          <w:numId w:val="1003"/>
        </w:numPr>
      </w:pPr>
      <w:r>
        <w:rPr>
          <w:b/>
          <w:bCs/>
        </w:rPr>
        <w:t xml:space="preserve">Age</w:t>
      </w:r>
      <w:r>
        <w:t xml:space="preserve"> </w:t>
      </w:r>
      <w:r>
        <w:t xml:space="preserve">is the curing time in days; strength keeps rising as curing continues, and 28 days is the standard acceptance age.</w:t>
      </w:r>
    </w:p>
    <w:p>
      <w:pPr>
        <w:pStyle w:val="FirstParagraph"/>
      </w:pPr>
      <w:r>
        <w:rPr>
          <w:b/>
          <w:bCs/>
        </w:rPr>
        <w:t xml:space="preserve">The data.</w:t>
      </w:r>
      <w:r>
        <w:t xml:space="preserve"> </w:t>
      </w:r>
      <w:r>
        <w:t xml:space="preserve">Each of the 1,030 mixes records seven ingredient quantities (kg per m³ of concrete), the curing age in days, and the measured compressive strength in megapascals (1 MPa ≈ 145 psi). Rows 501–630 (130 mixes) formed the blind test. Table 1 summarizes the 900 mixes used to build the model. The mixes span a wide range of recipes: cement varies five-fold, many mixes contain no slag, fly ash or superplasticizer, and strength runs from 2 to 83 MPa.</w:t>
      </w:r>
    </w:p>
    <w:p>
      <w:pPr>
        <w:pStyle w:val="TableCaption"/>
      </w:pPr>
      <w:r>
        <w:rPr>
          <w:b/>
          <w:bCs/>
        </w:rPr>
        <w:t xml:space="preserve">Table 1.</w:t>
      </w:r>
      <w:r>
        <w:t xml:space="preserve"> </w:t>
      </w:r>
      <w:r>
        <w:t xml:space="preserve">Descriptive statistics of the 900 training mixes (sample standard deviation).</w:t>
      </w:r>
    </w:p>
    <w:tbl>
      <w:tblPr>
        <w:tblStyle w:val="Table"/>
        <w:tblW w:type="dxa" w:w="7788"/>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1. Descriptive statistics of the 900 training mixes (sample standard deviation)."/>
      </w:tblPr>
      <w:tblGrid>
        <w:gridCol w:w="2816"/>
        <w:gridCol w:w="836"/>
        <w:gridCol w:w="968"/>
        <w:gridCol w:w="968"/>
        <w:gridCol w:w="968"/>
        <w:gridCol w:w="1232"/>
      </w:tblGrid>
      <w:tr>
        <w:trPr>
          <w:cantSplit/>
          <w:tblHeader w:val="on"/>
        </w:trPr>
        <w:tc>
          <w:tcPr>
            <w:tcW w:w="2816"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Variable</w:t>
            </w:r>
          </w:p>
        </w:tc>
        <w:tc>
          <w:tcPr>
            <w:tcW w:w="836"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Unit</w:t>
            </w:r>
          </w:p>
        </w:tc>
        <w:tc>
          <w:tcPr>
            <w:tcW w:w="96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Mean</w:t>
            </w:r>
          </w:p>
        </w:tc>
        <w:tc>
          <w:tcPr>
            <w:tcW w:w="96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Std. Dev.</w:t>
            </w:r>
          </w:p>
        </w:tc>
        <w:tc>
          <w:tcPr>
            <w:tcW w:w="96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Min</w:t>
            </w:r>
          </w:p>
        </w:tc>
        <w:tc>
          <w:tcPr>
            <w:tcW w:w="1232"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Max</w:t>
            </w:r>
          </w:p>
        </w:tc>
      </w:tr>
      <w:tr>
        <w:trPr>
          <w:cantSplit/>
        </w:trPr>
        <w:tc>
          <w:tcPr>
            <w:tcW w:w="2816" w:type="dxa"/>
          </w:tcPr>
          <w:p>
            <w:pPr>
              <w:pStyle w:val="Compact"/>
              <w:keepNext/>
              <w:spacing w:before="0" w:after="0" w:line="276" w:lineRule="auto"/>
              <w:jc w:val="left"/>
            </w:pPr>
            <w:r>
              <w:rPr>
                <w:sz w:val="22"/>
              </w:rPr>
              <w:t xml:space="preserve">Cement</w:t>
            </w:r>
          </w:p>
        </w:tc>
        <w:tc>
          <w:tcPr>
            <w:tcW w:w="836" w:type="dxa"/>
          </w:tcPr>
          <w:p>
            <w:pPr>
              <w:pStyle w:val="Compact"/>
              <w:keepNext/>
              <w:spacing w:before="0" w:after="0" w:line="276" w:lineRule="auto"/>
              <w:jc w:val="left"/>
            </w:pPr>
            <w:r>
              <w:rPr>
                <w:sz w:val="22"/>
              </w:rPr>
              <w:t xml:space="preserve">kg/m³</w:t>
            </w:r>
          </w:p>
        </w:tc>
        <w:tc>
          <w:tcPr>
            <w:tcW w:w="968" w:type="dxa"/>
          </w:tcPr>
          <w:p>
            <w:pPr>
              <w:pStyle w:val="Compact"/>
              <w:keepNext/>
              <w:spacing w:before="0" w:after="0" w:line="276" w:lineRule="auto"/>
              <w:jc w:val="right"/>
            </w:pPr>
            <w:r>
              <w:rPr>
                <w:sz w:val="22"/>
              </w:rPr>
              <w:t xml:space="preserve">277.87</w:t>
            </w:r>
          </w:p>
        </w:tc>
        <w:tc>
          <w:tcPr>
            <w:tcW w:w="968" w:type="dxa"/>
          </w:tcPr>
          <w:p>
            <w:pPr>
              <w:pStyle w:val="Compact"/>
              <w:keepNext/>
              <w:spacing w:before="0" w:after="0" w:line="276" w:lineRule="auto"/>
              <w:jc w:val="right"/>
            </w:pPr>
            <w:r>
              <w:rPr>
                <w:sz w:val="22"/>
              </w:rPr>
              <w:t xml:space="preserve">106.00</w:t>
            </w:r>
          </w:p>
        </w:tc>
        <w:tc>
          <w:tcPr>
            <w:tcW w:w="968" w:type="dxa"/>
          </w:tcPr>
          <w:p>
            <w:pPr>
              <w:pStyle w:val="Compact"/>
              <w:keepNext/>
              <w:spacing w:before="0" w:after="0" w:line="276" w:lineRule="auto"/>
              <w:jc w:val="right"/>
            </w:pPr>
            <w:r>
              <w:rPr>
                <w:sz w:val="22"/>
              </w:rPr>
              <w:t xml:space="preserve">102.00</w:t>
            </w:r>
          </w:p>
        </w:tc>
        <w:tc>
          <w:tcPr>
            <w:tcW w:w="1232" w:type="dxa"/>
          </w:tcPr>
          <w:p>
            <w:pPr>
              <w:pStyle w:val="Compact"/>
              <w:keepNext/>
              <w:spacing w:before="0" w:after="0" w:line="276" w:lineRule="auto"/>
              <w:jc w:val="right"/>
            </w:pPr>
            <w:r>
              <w:rPr>
                <w:sz w:val="22"/>
              </w:rPr>
              <w:t xml:space="preserve">540.00</w:t>
            </w:r>
          </w:p>
        </w:tc>
      </w:tr>
      <w:tr>
        <w:trPr>
          <w:cantSplit/>
        </w:trPr>
        <w:tc>
          <w:tcPr>
            <w:tcW w:w="2816" w:type="dxa"/>
          </w:tcPr>
          <w:p>
            <w:pPr>
              <w:pStyle w:val="Compact"/>
              <w:keepNext/>
              <w:spacing w:before="0" w:after="0" w:line="276" w:lineRule="auto"/>
              <w:jc w:val="left"/>
            </w:pPr>
            <w:r>
              <w:rPr>
                <w:sz w:val="22"/>
              </w:rPr>
              <w:t xml:space="preserve">Blast Furnace Slag</w:t>
            </w:r>
          </w:p>
        </w:tc>
        <w:tc>
          <w:tcPr>
            <w:tcW w:w="836" w:type="dxa"/>
          </w:tcPr>
          <w:p>
            <w:pPr>
              <w:pStyle w:val="Compact"/>
              <w:keepNext/>
              <w:spacing w:before="0" w:after="0" w:line="276" w:lineRule="auto"/>
              <w:jc w:val="left"/>
            </w:pPr>
            <w:r>
              <w:rPr>
                <w:sz w:val="22"/>
              </w:rPr>
              <w:t xml:space="preserve">kg/m³</w:t>
            </w:r>
          </w:p>
        </w:tc>
        <w:tc>
          <w:tcPr>
            <w:tcW w:w="968" w:type="dxa"/>
          </w:tcPr>
          <w:p>
            <w:pPr>
              <w:pStyle w:val="Compact"/>
              <w:keepNext/>
              <w:spacing w:before="0" w:after="0" w:line="276" w:lineRule="auto"/>
              <w:jc w:val="right"/>
            </w:pPr>
            <w:r>
              <w:rPr>
                <w:sz w:val="22"/>
              </w:rPr>
              <w:t xml:space="preserve">76.11</w:t>
            </w:r>
          </w:p>
        </w:tc>
        <w:tc>
          <w:tcPr>
            <w:tcW w:w="968" w:type="dxa"/>
          </w:tcPr>
          <w:p>
            <w:pPr>
              <w:pStyle w:val="Compact"/>
              <w:keepNext/>
              <w:spacing w:before="0" w:after="0" w:line="276" w:lineRule="auto"/>
              <w:jc w:val="right"/>
            </w:pPr>
            <w:r>
              <w:rPr>
                <w:sz w:val="22"/>
              </w:rPr>
              <w:t xml:space="preserve">84.07</w:t>
            </w:r>
          </w:p>
        </w:tc>
        <w:tc>
          <w:tcPr>
            <w:tcW w:w="968" w:type="dxa"/>
          </w:tcPr>
          <w:p>
            <w:pPr>
              <w:pStyle w:val="Compact"/>
              <w:keepNext/>
              <w:spacing w:before="0" w:after="0" w:line="276" w:lineRule="auto"/>
              <w:jc w:val="right"/>
            </w:pPr>
            <w:r>
              <w:rPr>
                <w:sz w:val="22"/>
              </w:rPr>
              <w:t xml:space="preserve">0.00</w:t>
            </w:r>
          </w:p>
        </w:tc>
        <w:tc>
          <w:tcPr>
            <w:tcW w:w="1232" w:type="dxa"/>
          </w:tcPr>
          <w:p>
            <w:pPr>
              <w:pStyle w:val="Compact"/>
              <w:keepNext/>
              <w:spacing w:before="0" w:after="0" w:line="276" w:lineRule="auto"/>
              <w:jc w:val="right"/>
            </w:pPr>
            <w:r>
              <w:rPr>
                <w:sz w:val="22"/>
              </w:rPr>
              <w:t xml:space="preserve">305.30</w:t>
            </w:r>
          </w:p>
        </w:tc>
      </w:tr>
      <w:tr>
        <w:trPr>
          <w:cantSplit/>
        </w:trPr>
        <w:tc>
          <w:tcPr>
            <w:tcW w:w="2816" w:type="dxa"/>
          </w:tcPr>
          <w:p>
            <w:pPr>
              <w:pStyle w:val="Compact"/>
              <w:keepNext/>
              <w:spacing w:before="0" w:after="0" w:line="276" w:lineRule="auto"/>
              <w:jc w:val="left"/>
            </w:pPr>
            <w:r>
              <w:rPr>
                <w:sz w:val="22"/>
              </w:rPr>
              <w:t xml:space="preserve">Fly Ash</w:t>
            </w:r>
          </w:p>
        </w:tc>
        <w:tc>
          <w:tcPr>
            <w:tcW w:w="836" w:type="dxa"/>
          </w:tcPr>
          <w:p>
            <w:pPr>
              <w:pStyle w:val="Compact"/>
              <w:keepNext/>
              <w:spacing w:before="0" w:after="0" w:line="276" w:lineRule="auto"/>
              <w:jc w:val="left"/>
            </w:pPr>
            <w:r>
              <w:rPr>
                <w:sz w:val="22"/>
              </w:rPr>
              <w:t xml:space="preserve">kg/m³</w:t>
            </w:r>
          </w:p>
        </w:tc>
        <w:tc>
          <w:tcPr>
            <w:tcW w:w="968" w:type="dxa"/>
          </w:tcPr>
          <w:p>
            <w:pPr>
              <w:pStyle w:val="Compact"/>
              <w:keepNext/>
              <w:spacing w:before="0" w:after="0" w:line="276" w:lineRule="auto"/>
              <w:jc w:val="right"/>
            </w:pPr>
            <w:r>
              <w:rPr>
                <w:sz w:val="22"/>
              </w:rPr>
              <w:t xml:space="preserve">57.38</w:t>
            </w:r>
          </w:p>
        </w:tc>
        <w:tc>
          <w:tcPr>
            <w:tcW w:w="968" w:type="dxa"/>
          </w:tcPr>
          <w:p>
            <w:pPr>
              <w:pStyle w:val="Compact"/>
              <w:keepNext/>
              <w:spacing w:before="0" w:after="0" w:line="276" w:lineRule="auto"/>
              <w:jc w:val="right"/>
            </w:pPr>
            <w:r>
              <w:rPr>
                <w:sz w:val="22"/>
              </w:rPr>
              <w:t xml:space="preserve">64.26</w:t>
            </w:r>
          </w:p>
        </w:tc>
        <w:tc>
          <w:tcPr>
            <w:tcW w:w="968" w:type="dxa"/>
          </w:tcPr>
          <w:p>
            <w:pPr>
              <w:pStyle w:val="Compact"/>
              <w:keepNext/>
              <w:spacing w:before="0" w:after="0" w:line="276" w:lineRule="auto"/>
              <w:jc w:val="right"/>
            </w:pPr>
            <w:r>
              <w:rPr>
                <w:sz w:val="22"/>
              </w:rPr>
              <w:t xml:space="preserve">0.00</w:t>
            </w:r>
          </w:p>
        </w:tc>
        <w:tc>
          <w:tcPr>
            <w:tcW w:w="1232" w:type="dxa"/>
          </w:tcPr>
          <w:p>
            <w:pPr>
              <w:pStyle w:val="Compact"/>
              <w:keepNext/>
              <w:spacing w:before="0" w:after="0" w:line="276" w:lineRule="auto"/>
              <w:jc w:val="right"/>
            </w:pPr>
            <w:r>
              <w:rPr>
                <w:sz w:val="22"/>
              </w:rPr>
              <w:t xml:space="preserve">200.10</w:t>
            </w:r>
          </w:p>
        </w:tc>
      </w:tr>
      <w:tr>
        <w:trPr>
          <w:cantSplit/>
        </w:trPr>
        <w:tc>
          <w:tcPr>
            <w:tcW w:w="2816" w:type="dxa"/>
          </w:tcPr>
          <w:p>
            <w:pPr>
              <w:pStyle w:val="Compact"/>
              <w:keepNext/>
              <w:spacing w:before="0" w:after="0" w:line="276" w:lineRule="auto"/>
              <w:jc w:val="left"/>
            </w:pPr>
            <w:r>
              <w:rPr>
                <w:sz w:val="22"/>
              </w:rPr>
              <w:t xml:space="preserve">Water</w:t>
            </w:r>
          </w:p>
        </w:tc>
        <w:tc>
          <w:tcPr>
            <w:tcW w:w="836" w:type="dxa"/>
          </w:tcPr>
          <w:p>
            <w:pPr>
              <w:pStyle w:val="Compact"/>
              <w:keepNext/>
              <w:spacing w:before="0" w:after="0" w:line="276" w:lineRule="auto"/>
              <w:jc w:val="left"/>
            </w:pPr>
            <w:r>
              <w:rPr>
                <w:sz w:val="22"/>
              </w:rPr>
              <w:t xml:space="preserve">kg/m³</w:t>
            </w:r>
          </w:p>
        </w:tc>
        <w:tc>
          <w:tcPr>
            <w:tcW w:w="968" w:type="dxa"/>
          </w:tcPr>
          <w:p>
            <w:pPr>
              <w:pStyle w:val="Compact"/>
              <w:keepNext/>
              <w:spacing w:before="0" w:after="0" w:line="276" w:lineRule="auto"/>
              <w:jc w:val="right"/>
            </w:pPr>
            <w:r>
              <w:rPr>
                <w:sz w:val="22"/>
              </w:rPr>
              <w:t xml:space="preserve">180.72</w:t>
            </w:r>
          </w:p>
        </w:tc>
        <w:tc>
          <w:tcPr>
            <w:tcW w:w="968" w:type="dxa"/>
          </w:tcPr>
          <w:p>
            <w:pPr>
              <w:pStyle w:val="Compact"/>
              <w:keepNext/>
              <w:spacing w:before="0" w:after="0" w:line="276" w:lineRule="auto"/>
              <w:jc w:val="right"/>
            </w:pPr>
            <w:r>
              <w:rPr>
                <w:sz w:val="22"/>
              </w:rPr>
              <w:t xml:space="preserve">22.28</w:t>
            </w:r>
          </w:p>
        </w:tc>
        <w:tc>
          <w:tcPr>
            <w:tcW w:w="968" w:type="dxa"/>
          </w:tcPr>
          <w:p>
            <w:pPr>
              <w:pStyle w:val="Compact"/>
              <w:keepNext/>
              <w:spacing w:before="0" w:after="0" w:line="276" w:lineRule="auto"/>
              <w:jc w:val="right"/>
            </w:pPr>
            <w:r>
              <w:rPr>
                <w:sz w:val="22"/>
              </w:rPr>
              <w:t xml:space="preserve">121.75</w:t>
            </w:r>
          </w:p>
        </w:tc>
        <w:tc>
          <w:tcPr>
            <w:tcW w:w="1232" w:type="dxa"/>
          </w:tcPr>
          <w:p>
            <w:pPr>
              <w:pStyle w:val="Compact"/>
              <w:keepNext/>
              <w:spacing w:before="0" w:after="0" w:line="276" w:lineRule="auto"/>
              <w:jc w:val="right"/>
            </w:pPr>
            <w:r>
              <w:rPr>
                <w:sz w:val="22"/>
              </w:rPr>
              <w:t xml:space="preserve">247.00</w:t>
            </w:r>
          </w:p>
        </w:tc>
      </w:tr>
      <w:tr>
        <w:trPr>
          <w:cantSplit/>
        </w:trPr>
        <w:tc>
          <w:tcPr>
            <w:tcW w:w="2816" w:type="dxa"/>
          </w:tcPr>
          <w:p>
            <w:pPr>
              <w:pStyle w:val="Compact"/>
              <w:keepNext/>
              <w:spacing w:before="0" w:after="0" w:line="276" w:lineRule="auto"/>
              <w:jc w:val="left"/>
            </w:pPr>
            <w:r>
              <w:rPr>
                <w:sz w:val="22"/>
              </w:rPr>
              <w:t xml:space="preserve">Superplasticizer</w:t>
            </w:r>
          </w:p>
        </w:tc>
        <w:tc>
          <w:tcPr>
            <w:tcW w:w="836" w:type="dxa"/>
          </w:tcPr>
          <w:p>
            <w:pPr>
              <w:pStyle w:val="Compact"/>
              <w:keepNext/>
              <w:spacing w:before="0" w:after="0" w:line="276" w:lineRule="auto"/>
              <w:jc w:val="left"/>
            </w:pPr>
            <w:r>
              <w:rPr>
                <w:sz w:val="22"/>
              </w:rPr>
              <w:t xml:space="preserve">kg/m³</w:t>
            </w:r>
          </w:p>
        </w:tc>
        <w:tc>
          <w:tcPr>
            <w:tcW w:w="968" w:type="dxa"/>
          </w:tcPr>
          <w:p>
            <w:pPr>
              <w:pStyle w:val="Compact"/>
              <w:keepNext/>
              <w:spacing w:before="0" w:after="0" w:line="276" w:lineRule="auto"/>
              <w:jc w:val="right"/>
            </w:pPr>
            <w:r>
              <w:rPr>
                <w:sz w:val="22"/>
              </w:rPr>
              <w:t xml:space="preserve">6.86</w:t>
            </w:r>
          </w:p>
        </w:tc>
        <w:tc>
          <w:tcPr>
            <w:tcW w:w="968" w:type="dxa"/>
          </w:tcPr>
          <w:p>
            <w:pPr>
              <w:pStyle w:val="Compact"/>
              <w:keepNext/>
              <w:spacing w:before="0" w:after="0" w:line="276" w:lineRule="auto"/>
              <w:jc w:val="right"/>
            </w:pPr>
            <w:r>
              <w:rPr>
                <w:sz w:val="22"/>
              </w:rPr>
              <w:t xml:space="preserve">5.98</w:t>
            </w:r>
          </w:p>
        </w:tc>
        <w:tc>
          <w:tcPr>
            <w:tcW w:w="968" w:type="dxa"/>
          </w:tcPr>
          <w:p>
            <w:pPr>
              <w:pStyle w:val="Compact"/>
              <w:keepNext/>
              <w:spacing w:before="0" w:after="0" w:line="276" w:lineRule="auto"/>
              <w:jc w:val="right"/>
            </w:pPr>
            <w:r>
              <w:rPr>
                <w:sz w:val="22"/>
              </w:rPr>
              <w:t xml:space="preserve">0.00</w:t>
            </w:r>
          </w:p>
        </w:tc>
        <w:tc>
          <w:tcPr>
            <w:tcW w:w="1232" w:type="dxa"/>
          </w:tcPr>
          <w:p>
            <w:pPr>
              <w:pStyle w:val="Compact"/>
              <w:keepNext/>
              <w:spacing w:before="0" w:after="0" w:line="276" w:lineRule="auto"/>
              <w:jc w:val="right"/>
            </w:pPr>
            <w:r>
              <w:rPr>
                <w:sz w:val="22"/>
              </w:rPr>
              <w:t xml:space="preserve">32.20</w:t>
            </w:r>
          </w:p>
        </w:tc>
      </w:tr>
      <w:tr>
        <w:trPr>
          <w:cantSplit/>
        </w:trPr>
        <w:tc>
          <w:tcPr>
            <w:tcW w:w="2816" w:type="dxa"/>
          </w:tcPr>
          <w:p>
            <w:pPr>
              <w:pStyle w:val="Compact"/>
              <w:keepNext/>
              <w:spacing w:before="0" w:after="0" w:line="276" w:lineRule="auto"/>
              <w:jc w:val="left"/>
            </w:pPr>
            <w:r>
              <w:rPr>
                <w:sz w:val="22"/>
              </w:rPr>
              <w:t xml:space="preserve">Coarse Aggregate</w:t>
            </w:r>
          </w:p>
        </w:tc>
        <w:tc>
          <w:tcPr>
            <w:tcW w:w="836" w:type="dxa"/>
          </w:tcPr>
          <w:p>
            <w:pPr>
              <w:pStyle w:val="Compact"/>
              <w:keepNext/>
              <w:spacing w:before="0" w:after="0" w:line="276" w:lineRule="auto"/>
              <w:jc w:val="left"/>
            </w:pPr>
            <w:r>
              <w:rPr>
                <w:sz w:val="22"/>
              </w:rPr>
              <w:t xml:space="preserve">kg/m³</w:t>
            </w:r>
          </w:p>
        </w:tc>
        <w:tc>
          <w:tcPr>
            <w:tcW w:w="968" w:type="dxa"/>
          </w:tcPr>
          <w:p>
            <w:pPr>
              <w:pStyle w:val="Compact"/>
              <w:keepNext/>
              <w:spacing w:before="0" w:after="0" w:line="276" w:lineRule="auto"/>
              <w:jc w:val="right"/>
            </w:pPr>
            <w:r>
              <w:rPr>
                <w:sz w:val="22"/>
              </w:rPr>
              <w:t xml:space="preserve">973.76</w:t>
            </w:r>
          </w:p>
        </w:tc>
        <w:tc>
          <w:tcPr>
            <w:tcW w:w="968" w:type="dxa"/>
          </w:tcPr>
          <w:p>
            <w:pPr>
              <w:pStyle w:val="Compact"/>
              <w:keepNext/>
              <w:spacing w:before="0" w:after="0" w:line="276" w:lineRule="auto"/>
              <w:jc w:val="right"/>
            </w:pPr>
            <w:r>
              <w:rPr>
                <w:sz w:val="22"/>
              </w:rPr>
              <w:t xml:space="preserve">77.57</w:t>
            </w:r>
          </w:p>
        </w:tc>
        <w:tc>
          <w:tcPr>
            <w:tcW w:w="968" w:type="dxa"/>
          </w:tcPr>
          <w:p>
            <w:pPr>
              <w:pStyle w:val="Compact"/>
              <w:keepNext/>
              <w:spacing w:before="0" w:after="0" w:line="276" w:lineRule="auto"/>
              <w:jc w:val="right"/>
            </w:pPr>
            <w:r>
              <w:rPr>
                <w:sz w:val="22"/>
              </w:rPr>
              <w:t xml:space="preserve">801.00</w:t>
            </w:r>
          </w:p>
        </w:tc>
        <w:tc>
          <w:tcPr>
            <w:tcW w:w="1232" w:type="dxa"/>
          </w:tcPr>
          <w:p>
            <w:pPr>
              <w:pStyle w:val="Compact"/>
              <w:keepNext/>
              <w:spacing w:before="0" w:after="0" w:line="276" w:lineRule="auto"/>
              <w:jc w:val="right"/>
            </w:pPr>
            <w:r>
              <w:rPr>
                <w:sz w:val="22"/>
              </w:rPr>
              <w:t xml:space="preserve">1,145.00</w:t>
            </w:r>
          </w:p>
        </w:tc>
      </w:tr>
      <w:tr>
        <w:trPr>
          <w:cantSplit/>
        </w:trPr>
        <w:tc>
          <w:tcPr>
            <w:tcW w:w="2816" w:type="dxa"/>
          </w:tcPr>
          <w:p>
            <w:pPr>
              <w:pStyle w:val="Compact"/>
              <w:keepNext/>
              <w:spacing w:before="0" w:after="0" w:line="276" w:lineRule="auto"/>
              <w:jc w:val="left"/>
            </w:pPr>
            <w:r>
              <w:rPr>
                <w:sz w:val="22"/>
              </w:rPr>
              <w:t xml:space="preserve">Fine Aggregate</w:t>
            </w:r>
          </w:p>
        </w:tc>
        <w:tc>
          <w:tcPr>
            <w:tcW w:w="836" w:type="dxa"/>
          </w:tcPr>
          <w:p>
            <w:pPr>
              <w:pStyle w:val="Compact"/>
              <w:keepNext/>
              <w:spacing w:before="0" w:after="0" w:line="276" w:lineRule="auto"/>
              <w:jc w:val="left"/>
            </w:pPr>
            <w:r>
              <w:rPr>
                <w:sz w:val="22"/>
              </w:rPr>
              <w:t xml:space="preserve">kg/m³</w:t>
            </w:r>
          </w:p>
        </w:tc>
        <w:tc>
          <w:tcPr>
            <w:tcW w:w="968" w:type="dxa"/>
          </w:tcPr>
          <w:p>
            <w:pPr>
              <w:pStyle w:val="Compact"/>
              <w:keepNext/>
              <w:spacing w:before="0" w:after="0" w:line="276" w:lineRule="auto"/>
              <w:jc w:val="right"/>
            </w:pPr>
            <w:r>
              <w:rPr>
                <w:sz w:val="22"/>
              </w:rPr>
              <w:t xml:space="preserve">772.33</w:t>
            </w:r>
          </w:p>
        </w:tc>
        <w:tc>
          <w:tcPr>
            <w:tcW w:w="968" w:type="dxa"/>
          </w:tcPr>
          <w:p>
            <w:pPr>
              <w:pStyle w:val="Compact"/>
              <w:keepNext/>
              <w:spacing w:before="0" w:after="0" w:line="276" w:lineRule="auto"/>
              <w:jc w:val="right"/>
            </w:pPr>
            <w:r>
              <w:rPr>
                <w:sz w:val="22"/>
              </w:rPr>
              <w:t xml:space="preserve">81.91</w:t>
            </w:r>
          </w:p>
        </w:tc>
        <w:tc>
          <w:tcPr>
            <w:tcW w:w="968" w:type="dxa"/>
          </w:tcPr>
          <w:p>
            <w:pPr>
              <w:pStyle w:val="Compact"/>
              <w:keepNext/>
              <w:spacing w:before="0" w:after="0" w:line="276" w:lineRule="auto"/>
              <w:jc w:val="right"/>
            </w:pPr>
            <w:r>
              <w:rPr>
                <w:sz w:val="22"/>
              </w:rPr>
              <w:t xml:space="preserve">594.00</w:t>
            </w:r>
          </w:p>
        </w:tc>
        <w:tc>
          <w:tcPr>
            <w:tcW w:w="1232" w:type="dxa"/>
          </w:tcPr>
          <w:p>
            <w:pPr>
              <w:pStyle w:val="Compact"/>
              <w:keepNext/>
              <w:spacing w:before="0" w:after="0" w:line="276" w:lineRule="auto"/>
              <w:jc w:val="right"/>
            </w:pPr>
            <w:r>
              <w:rPr>
                <w:sz w:val="22"/>
              </w:rPr>
              <w:t xml:space="preserve">992.60</w:t>
            </w:r>
          </w:p>
        </w:tc>
      </w:tr>
      <w:tr>
        <w:trPr>
          <w:cantSplit/>
        </w:trPr>
        <w:tc>
          <w:tcPr>
            <w:tcW w:w="2816" w:type="dxa"/>
          </w:tcPr>
          <w:p>
            <w:pPr>
              <w:pStyle w:val="Compact"/>
              <w:keepNext/>
              <w:spacing w:before="0" w:after="0" w:line="276" w:lineRule="auto"/>
              <w:jc w:val="left"/>
            </w:pPr>
            <w:r>
              <w:rPr>
                <w:sz w:val="22"/>
              </w:rPr>
              <w:t xml:space="preserve">Age</w:t>
            </w:r>
          </w:p>
        </w:tc>
        <w:tc>
          <w:tcPr>
            <w:tcW w:w="836" w:type="dxa"/>
          </w:tcPr>
          <w:p>
            <w:pPr>
              <w:pStyle w:val="Compact"/>
              <w:keepNext/>
              <w:spacing w:before="0" w:after="0" w:line="276" w:lineRule="auto"/>
              <w:jc w:val="left"/>
            </w:pPr>
            <w:r>
              <w:rPr>
                <w:sz w:val="22"/>
              </w:rPr>
              <w:t xml:space="preserve">days</w:t>
            </w:r>
          </w:p>
        </w:tc>
        <w:tc>
          <w:tcPr>
            <w:tcW w:w="968" w:type="dxa"/>
          </w:tcPr>
          <w:p>
            <w:pPr>
              <w:pStyle w:val="Compact"/>
              <w:keepNext/>
              <w:spacing w:before="0" w:after="0" w:line="276" w:lineRule="auto"/>
              <w:jc w:val="right"/>
            </w:pPr>
            <w:r>
              <w:rPr>
                <w:sz w:val="22"/>
              </w:rPr>
              <w:t xml:space="preserve">46.04</w:t>
            </w:r>
          </w:p>
        </w:tc>
        <w:tc>
          <w:tcPr>
            <w:tcW w:w="968" w:type="dxa"/>
          </w:tcPr>
          <w:p>
            <w:pPr>
              <w:pStyle w:val="Compact"/>
              <w:keepNext/>
              <w:spacing w:before="0" w:after="0" w:line="276" w:lineRule="auto"/>
              <w:jc w:val="right"/>
            </w:pPr>
            <w:r>
              <w:rPr>
                <w:sz w:val="22"/>
              </w:rPr>
              <w:t xml:space="preserve">61.32</w:t>
            </w:r>
          </w:p>
        </w:tc>
        <w:tc>
          <w:tcPr>
            <w:tcW w:w="968" w:type="dxa"/>
          </w:tcPr>
          <w:p>
            <w:pPr>
              <w:pStyle w:val="Compact"/>
              <w:keepNext/>
              <w:spacing w:before="0" w:after="0" w:line="276" w:lineRule="auto"/>
              <w:jc w:val="right"/>
            </w:pPr>
            <w:r>
              <w:rPr>
                <w:sz w:val="22"/>
              </w:rPr>
              <w:t xml:space="preserve">1.00</w:t>
            </w:r>
          </w:p>
        </w:tc>
        <w:tc>
          <w:tcPr>
            <w:tcW w:w="1232" w:type="dxa"/>
          </w:tcPr>
          <w:p>
            <w:pPr>
              <w:pStyle w:val="Compact"/>
              <w:keepNext/>
              <w:spacing w:before="0" w:after="0" w:line="276" w:lineRule="auto"/>
              <w:jc w:val="right"/>
            </w:pPr>
            <w:r>
              <w:rPr>
                <w:sz w:val="22"/>
              </w:rPr>
              <w:t xml:space="preserve">365.00</w:t>
            </w:r>
          </w:p>
        </w:tc>
      </w:tr>
      <w:tr>
        <w:trPr>
          <w:cantSplit/>
        </w:trPr>
        <w:tc>
          <w:tcPr>
            <w:tcW w:w="2816" w:type="dxa"/>
          </w:tcPr>
          <w:p>
            <w:pPr>
              <w:pStyle w:val="Compact"/>
              <w:spacing w:before="0" w:after="0" w:line="276" w:lineRule="auto"/>
              <w:jc w:val="left"/>
            </w:pPr>
            <w:r>
              <w:rPr>
                <w:sz w:val="22"/>
              </w:rPr>
              <w:t xml:space="preserve">Compressive Strength</w:t>
            </w:r>
          </w:p>
        </w:tc>
        <w:tc>
          <w:tcPr>
            <w:tcW w:w="836" w:type="dxa"/>
          </w:tcPr>
          <w:p>
            <w:pPr>
              <w:pStyle w:val="Compact"/>
              <w:spacing w:before="0" w:after="0" w:line="276" w:lineRule="auto"/>
              <w:jc w:val="left"/>
            </w:pPr>
            <w:r>
              <w:rPr>
                <w:sz w:val="22"/>
              </w:rPr>
              <w:t xml:space="preserve">MPa</w:t>
            </w:r>
          </w:p>
        </w:tc>
        <w:tc>
          <w:tcPr>
            <w:tcW w:w="968" w:type="dxa"/>
          </w:tcPr>
          <w:p>
            <w:pPr>
              <w:pStyle w:val="Compact"/>
              <w:spacing w:before="0" w:after="0" w:line="276" w:lineRule="auto"/>
              <w:jc w:val="right"/>
            </w:pPr>
            <w:r>
              <w:rPr>
                <w:sz w:val="22"/>
              </w:rPr>
              <w:t xml:space="preserve">36.93</w:t>
            </w:r>
          </w:p>
        </w:tc>
        <w:tc>
          <w:tcPr>
            <w:tcW w:w="968" w:type="dxa"/>
          </w:tcPr>
          <w:p>
            <w:pPr>
              <w:pStyle w:val="Compact"/>
              <w:spacing w:before="0" w:after="0" w:line="276" w:lineRule="auto"/>
              <w:jc w:val="right"/>
            </w:pPr>
            <w:r>
              <w:rPr>
                <w:sz w:val="22"/>
              </w:rPr>
              <w:t xml:space="preserve">16.65</w:t>
            </w:r>
          </w:p>
        </w:tc>
        <w:tc>
          <w:tcPr>
            <w:tcW w:w="968" w:type="dxa"/>
          </w:tcPr>
          <w:p>
            <w:pPr>
              <w:pStyle w:val="Compact"/>
              <w:spacing w:before="0" w:after="0" w:line="276" w:lineRule="auto"/>
              <w:jc w:val="right"/>
            </w:pPr>
            <w:r>
              <w:rPr>
                <w:sz w:val="22"/>
              </w:rPr>
              <w:t xml:space="preserve">2.33</w:t>
            </w:r>
          </w:p>
        </w:tc>
        <w:tc>
          <w:tcPr>
            <w:tcW w:w="1232" w:type="dxa"/>
          </w:tcPr>
          <w:p>
            <w:pPr>
              <w:pStyle w:val="Compact"/>
              <w:spacing w:before="0" w:after="0" w:line="276" w:lineRule="auto"/>
              <w:jc w:val="right"/>
            </w:pPr>
            <w:r>
              <w:rPr>
                <w:sz w:val="22"/>
              </w:rPr>
              <w:t xml:space="preserve">82.60</w:t>
            </w:r>
          </w:p>
        </w:tc>
      </w:tr>
    </w:tbl>
    <w:p>
      <w:pPr>
        <w:pStyle w:val="BodyText"/>
        <w:spacing w:before="200"/>
      </w:pPr>
      <w:r>
        <w:t xml:space="preserve">Two relationships stand out. Figure 1 shows that strength climbs steeply over the first four weeks and then levels off. Figure 2 shows the classic water-to-cement effect: 28-day strength falls steadily as the ratio rises, and mixes made with superplasticizer cluster at the stronger, drier end.</w:t>
      </w:r>
    </w:p>
    <w:p>
      <w:pPr>
        <w:pStyle w:val="CaptionedFigure"/>
        <w:keepNext/>
      </w:pPr>
      <w:r>
        <w:drawing>
          <wp:inline>
            <wp:extent cx="5577840" cy="2709236"/>
            <wp:effectExtent b="0" l="0" r="0" t="0"/>
            <wp:docPr descr="Figure 1. Strength versus curing age (900 training mixes), with medians at each age in orange and the model’s typical-mix estimate in blue." title="" id="22" name="Picture"/>
            <a:graphic>
              <a:graphicData uri="http://schemas.openxmlformats.org/drawingml/2006/picture">
                <pic:pic>
                  <pic:nvPicPr>
                    <pic:cNvPr descr="../assets/figures/client_strength_by_age.png" id="23" name="Picture"/>
                    <pic:cNvPicPr>
                      <a:picLocks noChangeArrowheads="1" noChangeAspect="1"/>
                    </pic:cNvPicPr>
                  </pic:nvPicPr>
                  <pic:blipFill>
                    <a:blip r:embed="rId21"/>
                    <a:stretch>
                      <a:fillRect/>
                    </a:stretch>
                  </pic:blipFill>
                  <pic:spPr bwMode="auto">
                    <a:xfrm>
                      <a:off x="0" y="0"/>
                      <a:ext cx="5577840" cy="2709236"/>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Strength versus curing age (900 training mixes), with medians at each age in orange and the model’s typical-mix estimate in blue.</w:t>
      </w:r>
    </w:p>
    <w:p>
      <w:pPr>
        <w:pStyle w:val="CaptionedFigure"/>
        <w:keepNext/>
      </w:pPr>
      <w:r>
        <w:drawing>
          <wp:inline>
            <wp:extent cx="5577840" cy="2709236"/>
            <wp:effectExtent b="0" l="0" r="0" t="0"/>
            <wp:docPr descr="Figure 2. 28-day strength versus water-to-cement ratio (384 mixes tested at 28 days), with a smoothed trend." title="" id="25" name="Picture"/>
            <a:graphic>
              <a:graphicData uri="http://schemas.openxmlformats.org/drawingml/2006/picture">
                <pic:pic>
                  <pic:nvPicPr>
                    <pic:cNvPr descr="../assets/figures/client_strength_vs_water_cement.png" id="26" name="Picture"/>
                    <pic:cNvPicPr>
                      <a:picLocks noChangeArrowheads="1" noChangeAspect="1"/>
                    </pic:cNvPicPr>
                  </pic:nvPicPr>
                  <pic:blipFill>
                    <a:blip r:embed="rId24"/>
                    <a:stretch>
                      <a:fillRect/>
                    </a:stretch>
                  </pic:blipFill>
                  <pic:spPr bwMode="auto">
                    <a:xfrm>
                      <a:off x="0" y="0"/>
                      <a:ext cx="5577840" cy="270923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28-day strength versus water-to-cement ratio (384 mixes tested at 28 days), with a smoothed trend.</w:t>
      </w:r>
    </w:p>
    <w:bookmarkEnd w:id="27"/>
    <w:bookmarkEnd w:id="28"/>
    <w:bookmarkStart w:id="33" w:name="model-reliability-analytical-findings"/>
    <w:p>
      <w:pPr>
        <w:pStyle w:val="Heading1"/>
      </w:pPr>
      <w:r>
        <w:t xml:space="preserve">Model Reliability &amp; Analytical Findings</w:t>
      </w:r>
    </w:p>
    <w:p>
      <w:pPr>
        <w:pStyle w:val="FirstParagraph"/>
      </w:pPr>
      <w:r>
        <w:rPr>
          <w:b/>
          <w:bCs/>
        </w:rPr>
        <w:t xml:space="preserve">How the model works.</w:t>
      </w:r>
      <w:r>
        <w:t xml:space="preserve"> </w:t>
      </w:r>
      <w:r>
        <w:t xml:space="preserve">A simple straight-line model links strength directly to the amount of each ingredient. The final model instead works with</w:t>
      </w:r>
      <w:r>
        <w:t xml:space="preserve"> </w:t>
      </w:r>
      <w:r>
        <w:rPr>
          <w:i/>
          <w:iCs/>
        </w:rPr>
        <w:t xml:space="preserve">proportional</w:t>
      </w:r>
      <w:r>
        <w:t xml:space="preserve"> </w:t>
      </w:r>
      <w:r>
        <w:t xml:space="preserve">changes, so a 10% change counts the same whether the mix is lean or rich. This matches how concrete behaves: proportions such as water-to-cement drive strength, and gains slow down with age.</w:t>
      </w:r>
    </w:p>
    <w:p>
      <w:pPr>
        <w:pStyle w:val="BodyText"/>
      </w:pPr>
      <w:r>
        <w:rPr>
          <w:b/>
          <w:bCs/>
        </w:rPr>
        <w:t xml:space="preserve">Reliability on unseen mixes.</w:t>
      </w:r>
      <w:r>
        <w:t xml:space="preserve"> </w:t>
      </w:r>
      <w:r>
        <w:t xml:space="preserve">Table 2 compares both approaches. The final model explained 80% of the variation in the training mixes and 76% in the unseen mixes, a small drop showing that it holds up on new recipes, while the simple model fell from 62% to 37%. As Figure 3 shows, 81% of unseen mixes were predicted within 10 MPa. However, the model</w:t>
      </w:r>
      <w:r>
        <w:t xml:space="preserve"> </w:t>
      </w:r>
      <w:r>
        <w:rPr>
          <w:b/>
          <w:bCs/>
        </w:rPr>
        <w:t xml:space="preserve">over-predicted unseen mixes by 3.4 MPa on average</w:t>
      </w:r>
      <w:r>
        <w:t xml:space="preserve">. Those mixes used superplasticizer far less often than the training mixes (24% versus 69%), so we recommend a safety margin below.</w:t>
      </w:r>
    </w:p>
    <w:p>
      <w:pPr>
        <w:pStyle w:val="TableCaption"/>
      </w:pPr>
      <w:r>
        <w:rPr>
          <w:b/>
          <w:bCs/>
        </w:rPr>
        <w:t xml:space="preserve">Table 2.</w:t>
      </w:r>
      <w:r>
        <w:t xml:space="preserve"> </w:t>
      </w:r>
      <w:r>
        <w:t xml:space="preserve">Model accuracy on the 900 training mixes and 130 unseen test mixes. Typical error is the usual size of a prediction miss.</w:t>
      </w:r>
    </w:p>
    <w:tbl>
      <w:tblPr>
        <w:tblStyle w:val="Table"/>
        <w:tblW w:type="dxa" w:w="8681"/>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2. Model accuracy on the 900 training mixes and 130 unseen test mixes. Typical error is the usual size of a prediction miss."/>
      </w:tblPr>
      <w:tblGrid>
        <w:gridCol w:w="3608"/>
        <w:gridCol w:w="1496"/>
        <w:gridCol w:w="1364"/>
        <w:gridCol w:w="1245"/>
        <w:gridCol w:w="968"/>
      </w:tblGrid>
      <w:tr>
        <w:trPr>
          <w:cantSplit/>
          <w:tblHeader w:val="on"/>
        </w:trPr>
        <w:tc>
          <w:tcPr>
            <w:tcW w:w="3608"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Model</w:t>
            </w:r>
          </w:p>
        </w:tc>
        <w:tc>
          <w:tcPr>
            <w:tcW w:w="1496"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Variation explained (training)</w:t>
            </w:r>
          </w:p>
        </w:tc>
        <w:tc>
          <w:tcPr>
            <w:tcW w:w="1364"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Variation explained (unseen)</w:t>
            </w:r>
          </w:p>
        </w:tc>
        <w:tc>
          <w:tcPr>
            <w:tcW w:w="1245"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Typical error, unseen (MPa)</w:t>
            </w:r>
          </w:p>
        </w:tc>
        <w:tc>
          <w:tcPr>
            <w:tcW w:w="96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Unseen within 10 MPa</w:t>
            </w:r>
          </w:p>
        </w:tc>
      </w:tr>
      <w:tr>
        <w:trPr>
          <w:cantSplit/>
        </w:trPr>
        <w:tc>
          <w:tcPr>
            <w:tcW w:w="3608" w:type="dxa"/>
          </w:tcPr>
          <w:p>
            <w:pPr>
              <w:pStyle w:val="Compact"/>
              <w:keepNext/>
              <w:spacing w:before="0" w:after="0" w:line="276" w:lineRule="auto"/>
              <w:jc w:val="left"/>
            </w:pPr>
            <w:r>
              <w:rPr>
                <w:sz w:val="22"/>
              </w:rPr>
              <w:t xml:space="preserve">Simple straight-line model</w:t>
            </w:r>
          </w:p>
        </w:tc>
        <w:tc>
          <w:tcPr>
            <w:tcW w:w="1496" w:type="dxa"/>
          </w:tcPr>
          <w:p>
            <w:pPr>
              <w:pStyle w:val="Compact"/>
              <w:keepNext/>
              <w:spacing w:before="0" w:after="0" w:line="276" w:lineRule="auto"/>
              <w:jc w:val="right"/>
            </w:pPr>
            <w:r>
              <w:rPr>
                <w:sz w:val="22"/>
              </w:rPr>
              <w:t xml:space="preserve">62%</w:t>
            </w:r>
          </w:p>
        </w:tc>
        <w:tc>
          <w:tcPr>
            <w:tcW w:w="1364" w:type="dxa"/>
          </w:tcPr>
          <w:p>
            <w:pPr>
              <w:pStyle w:val="Compact"/>
              <w:keepNext/>
              <w:spacing w:before="0" w:after="0" w:line="276" w:lineRule="auto"/>
              <w:jc w:val="right"/>
            </w:pPr>
            <w:r>
              <w:rPr>
                <w:sz w:val="22"/>
              </w:rPr>
              <w:t xml:space="preserve">37%</w:t>
            </w:r>
          </w:p>
        </w:tc>
        <w:tc>
          <w:tcPr>
            <w:tcW w:w="1245" w:type="dxa"/>
          </w:tcPr>
          <w:p>
            <w:pPr>
              <w:pStyle w:val="Compact"/>
              <w:keepNext/>
              <w:spacing w:before="0" w:after="0" w:line="276" w:lineRule="auto"/>
              <w:jc w:val="right"/>
            </w:pPr>
            <w:r>
              <w:rPr>
                <w:sz w:val="22"/>
              </w:rPr>
              <w:t xml:space="preserve">11.9</w:t>
            </w:r>
          </w:p>
        </w:tc>
        <w:tc>
          <w:tcPr>
            <w:tcW w:w="968" w:type="dxa"/>
          </w:tcPr>
          <w:p>
            <w:pPr>
              <w:pStyle w:val="Compact"/>
              <w:keepNext/>
              <w:spacing w:before="0" w:after="0" w:line="276" w:lineRule="auto"/>
              <w:jc w:val="right"/>
            </w:pPr>
            <w:r>
              <w:rPr>
                <w:sz w:val="22"/>
              </w:rPr>
              <w:t xml:space="preserve">65%</w:t>
            </w:r>
          </w:p>
        </w:tc>
      </w:tr>
      <w:tr>
        <w:trPr>
          <w:cantSplit/>
        </w:trPr>
        <w:tc>
          <w:tcPr>
            <w:tcW w:w="3608" w:type="dxa"/>
          </w:tcPr>
          <w:p>
            <w:pPr>
              <w:pStyle w:val="Compact"/>
              <w:spacing w:before="0" w:after="0" w:line="276" w:lineRule="auto"/>
              <w:jc w:val="left"/>
            </w:pPr>
            <w:r>
              <w:rPr>
                <w:b/>
                <w:bCs/>
                <w:sz w:val="22"/>
              </w:rPr>
              <w:t xml:space="preserve">Final model</w:t>
            </w:r>
          </w:p>
        </w:tc>
        <w:tc>
          <w:tcPr>
            <w:tcW w:w="1496" w:type="dxa"/>
          </w:tcPr>
          <w:p>
            <w:pPr>
              <w:pStyle w:val="Compact"/>
              <w:spacing w:before="0" w:after="0" w:line="276" w:lineRule="auto"/>
              <w:jc w:val="right"/>
            </w:pPr>
            <w:r>
              <w:rPr>
                <w:b/>
                <w:bCs/>
                <w:sz w:val="22"/>
              </w:rPr>
              <w:t xml:space="preserve">80%</w:t>
            </w:r>
          </w:p>
        </w:tc>
        <w:tc>
          <w:tcPr>
            <w:tcW w:w="1364" w:type="dxa"/>
          </w:tcPr>
          <w:p>
            <w:pPr>
              <w:pStyle w:val="Compact"/>
              <w:spacing w:before="0" w:after="0" w:line="276" w:lineRule="auto"/>
              <w:jc w:val="right"/>
            </w:pPr>
            <w:r>
              <w:rPr>
                <w:b/>
                <w:bCs/>
                <w:sz w:val="22"/>
              </w:rPr>
              <w:t xml:space="preserve">76%</w:t>
            </w:r>
          </w:p>
        </w:tc>
        <w:tc>
          <w:tcPr>
            <w:tcW w:w="1245" w:type="dxa"/>
          </w:tcPr>
          <w:p>
            <w:pPr>
              <w:pStyle w:val="Compact"/>
              <w:spacing w:before="0" w:after="0" w:line="276" w:lineRule="auto"/>
              <w:jc w:val="right"/>
            </w:pPr>
            <w:r>
              <w:rPr>
                <w:b/>
                <w:bCs/>
                <w:sz w:val="22"/>
              </w:rPr>
              <w:t xml:space="preserve">7.4</w:t>
            </w:r>
          </w:p>
        </w:tc>
        <w:tc>
          <w:tcPr>
            <w:tcW w:w="968" w:type="dxa"/>
          </w:tcPr>
          <w:p>
            <w:pPr>
              <w:pStyle w:val="Compact"/>
              <w:spacing w:before="0" w:after="0" w:line="276" w:lineRule="auto"/>
              <w:jc w:val="right"/>
            </w:pPr>
            <w:r>
              <w:rPr>
                <w:b/>
                <w:bCs/>
                <w:sz w:val="22"/>
              </w:rPr>
              <w:t xml:space="preserve">81%</w:t>
            </w:r>
          </w:p>
        </w:tc>
      </w:tr>
    </w:tbl>
    <w:p>
      <w:pPr>
        <w:pStyle w:val="CaptionedFigure"/>
        <w:keepNext/>
        <w:spacing w:before="200"/>
      </w:pPr>
      <w:r>
        <w:drawing>
          <wp:inline>
            <wp:extent cx="3383280" cy="3354729"/>
            <wp:effectExtent b="0" l="0" r="0" t="0"/>
            <wp:docPr descr="Figure 3. Predicted versus measured strength for the final model; the shaded band marks ±7.4 MPa." title="" id="30" name="Picture"/>
            <a:graphic>
              <a:graphicData uri="http://schemas.openxmlformats.org/drawingml/2006/picture">
                <pic:pic>
                  <pic:nvPicPr>
                    <pic:cNvPr descr="../assets/figures/client_predicted_vs_measured.png" id="31" name="Picture"/>
                    <pic:cNvPicPr>
                      <a:picLocks noChangeArrowheads="1" noChangeAspect="1"/>
                    </pic:cNvPicPr>
                  </pic:nvPicPr>
                  <pic:blipFill>
                    <a:blip r:embed="rId29"/>
                    <a:stretch>
                      <a:fillRect/>
                    </a:stretch>
                  </pic:blipFill>
                  <pic:spPr bwMode="auto">
                    <a:xfrm>
                      <a:off x="0" y="0"/>
                      <a:ext cx="3383280" cy="335472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Predicted versus measured strength for the final model; the shaded band marks ±7.4 MPa.</w:t>
      </w:r>
    </w:p>
    <w:p>
      <w:pPr>
        <w:pStyle w:val="BodyText"/>
      </w:pPr>
      <w:r>
        <w:rPr>
          <w:b/>
          <w:bCs/>
        </w:rPr>
        <w:t xml:space="preserve">What each ingredient is worth.</w:t>
      </w:r>
      <w:r>
        <w:t xml:space="preserve"> </w:t>
      </w:r>
      <w:r>
        <w:t xml:space="preserve">Table 3 translates the model into real-world effects for a typical mix: 263 kg/m³ cement, 42 kg/m³ slag, no fly ash, 182 kg/m³ water and 7.4 kg/m³ superplasticizer, with a predicted strength of 40.7 MPa at 28 days. Holding all other components constant,</w:t>
      </w:r>
      <w:r>
        <w:t xml:space="preserve"> </w:t>
      </w:r>
      <w:r>
        <w:rPr>
          <w:b/>
          <w:bCs/>
        </w:rPr>
        <w:t xml:space="preserve">adding 50 kg/m³ of cement yields an estimated 4.1 MPa increase</w:t>
      </w:r>
      <w:r>
        <w:t xml:space="preserve">. Removing 10 kg/m³ of water yields 2.2 MPa, so kilogram for kilogram, cutting water is about 2.6 times as effective as adding cement. Within the ranges studied, fly ash and aggregate quantities had no reliable effect on strength.</w:t>
      </w:r>
    </w:p>
    <w:p>
      <w:pPr>
        <w:pStyle w:val="TableCaption"/>
      </w:pPr>
      <w:r>
        <w:rPr>
          <w:b/>
          <w:bCs/>
        </w:rPr>
        <w:t xml:space="preserve">Table 3.</w:t>
      </w:r>
      <w:r>
        <w:t xml:space="preserve"> </w:t>
      </w:r>
      <w:r>
        <w:t xml:space="preserve">Estimated strength change from adjusting the typical mix, all else held constant; evidence reflects how consistently each effect appears.</w:t>
      </w:r>
    </w:p>
    <w:tbl>
      <w:tblPr>
        <w:tblStyle w:val="Table"/>
        <w:tblW w:type="dxa" w:w="9359"/>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3. Estimated strength change from adjusting the typical mix, all else held constant; evidence reflects how consistently each effect appears."/>
      </w:tblPr>
      <w:tblGrid>
        <w:gridCol w:w="5785"/>
        <w:gridCol w:w="1360"/>
        <w:gridCol w:w="2214"/>
      </w:tblGrid>
      <w:tr>
        <w:trPr>
          <w:cantSplit/>
          <w:tblHeader w:val="on"/>
        </w:trPr>
        <w:tc>
          <w:tcPr>
            <w:tcW w:w="5785"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Adjustment to the typical mix</w:t>
            </w:r>
          </w:p>
        </w:tc>
        <w:tc>
          <w:tcPr>
            <w:tcW w:w="136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Change (MPa)</w:t>
            </w:r>
          </w:p>
        </w:tc>
        <w:tc>
          <w:tcPr>
            <w:tcW w:w="2214"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Evidence</w:t>
            </w:r>
          </w:p>
        </w:tc>
      </w:tr>
      <w:tr>
        <w:trPr>
          <w:cantSplit/>
        </w:trPr>
        <w:tc>
          <w:tcPr>
            <w:tcW w:w="5785" w:type="dxa"/>
          </w:tcPr>
          <w:p>
            <w:pPr>
              <w:pStyle w:val="Compact"/>
              <w:keepNext/>
              <w:spacing w:before="0" w:after="0" w:line="276" w:lineRule="auto"/>
              <w:jc w:val="left"/>
            </w:pPr>
            <w:r>
              <w:rPr>
                <w:sz w:val="22"/>
              </w:rPr>
              <w:t xml:space="preserve">Add 50 kg/m³ cement</w:t>
            </w:r>
          </w:p>
        </w:tc>
        <w:tc>
          <w:tcPr>
            <w:tcW w:w="1360" w:type="dxa"/>
          </w:tcPr>
          <w:p>
            <w:pPr>
              <w:pStyle w:val="Compact"/>
              <w:keepNext/>
              <w:spacing w:before="0" w:after="0" w:line="276" w:lineRule="auto"/>
              <w:jc w:val="right"/>
            </w:pPr>
            <w:r>
              <w:rPr>
                <w:sz w:val="22"/>
              </w:rPr>
              <w:t xml:space="preserve">+4.1</w:t>
            </w:r>
          </w:p>
        </w:tc>
        <w:tc>
          <w:tcPr>
            <w:tcW w:w="2214" w:type="dxa"/>
          </w:tcPr>
          <w:p>
            <w:pPr>
              <w:pStyle w:val="Compact"/>
              <w:keepNext/>
              <w:spacing w:before="0" w:after="0" w:line="276" w:lineRule="auto"/>
              <w:jc w:val="left"/>
            </w:pPr>
            <w:r>
              <w:rPr>
                <w:sz w:val="22"/>
              </w:rPr>
              <w:t xml:space="preserve">Strong</w:t>
            </w:r>
          </w:p>
        </w:tc>
      </w:tr>
      <w:tr>
        <w:trPr>
          <w:cantSplit/>
        </w:trPr>
        <w:tc>
          <w:tcPr>
            <w:tcW w:w="5785" w:type="dxa"/>
          </w:tcPr>
          <w:p>
            <w:pPr>
              <w:pStyle w:val="Compact"/>
              <w:keepNext/>
              <w:spacing w:before="0" w:after="0" w:line="276" w:lineRule="auto"/>
              <w:jc w:val="left"/>
            </w:pPr>
            <w:r>
              <w:rPr>
                <w:sz w:val="22"/>
              </w:rPr>
              <w:t xml:space="preserve">Remove 10 kg/m³ water</w:t>
            </w:r>
          </w:p>
        </w:tc>
        <w:tc>
          <w:tcPr>
            <w:tcW w:w="1360" w:type="dxa"/>
          </w:tcPr>
          <w:p>
            <w:pPr>
              <w:pStyle w:val="Compact"/>
              <w:keepNext/>
              <w:spacing w:before="0" w:after="0" w:line="276" w:lineRule="auto"/>
              <w:jc w:val="right"/>
            </w:pPr>
            <w:r>
              <w:rPr>
                <w:sz w:val="22"/>
              </w:rPr>
              <w:t xml:space="preserve">+2.2</w:t>
            </w:r>
          </w:p>
        </w:tc>
        <w:tc>
          <w:tcPr>
            <w:tcW w:w="2214" w:type="dxa"/>
          </w:tcPr>
          <w:p>
            <w:pPr>
              <w:pStyle w:val="Compact"/>
              <w:keepNext/>
              <w:spacing w:before="0" w:after="0" w:line="276" w:lineRule="auto"/>
              <w:jc w:val="left"/>
            </w:pPr>
            <w:r>
              <w:rPr>
                <w:sz w:val="22"/>
              </w:rPr>
              <w:t xml:space="preserve">Strong</w:t>
            </w:r>
          </w:p>
        </w:tc>
      </w:tr>
      <w:tr>
        <w:trPr>
          <w:cantSplit/>
        </w:trPr>
        <w:tc>
          <w:tcPr>
            <w:tcW w:w="5785" w:type="dxa"/>
          </w:tcPr>
          <w:p>
            <w:pPr>
              <w:pStyle w:val="Compact"/>
              <w:keepNext/>
              <w:spacing w:before="0" w:after="0" w:line="276" w:lineRule="auto"/>
              <w:jc w:val="left"/>
            </w:pPr>
            <w:r>
              <w:rPr>
                <w:sz w:val="22"/>
              </w:rPr>
              <w:t xml:space="preserve">Remove 26 kg/m³ water (typical saving with superplasticizer)</w:t>
            </w:r>
          </w:p>
        </w:tc>
        <w:tc>
          <w:tcPr>
            <w:tcW w:w="1360" w:type="dxa"/>
          </w:tcPr>
          <w:p>
            <w:pPr>
              <w:pStyle w:val="Compact"/>
              <w:keepNext/>
              <w:spacing w:before="0" w:after="0" w:line="276" w:lineRule="auto"/>
              <w:jc w:val="right"/>
            </w:pPr>
            <w:r>
              <w:rPr>
                <w:sz w:val="22"/>
              </w:rPr>
              <w:t xml:space="preserve">+5.9</w:t>
            </w:r>
          </w:p>
        </w:tc>
        <w:tc>
          <w:tcPr>
            <w:tcW w:w="2214" w:type="dxa"/>
          </w:tcPr>
          <w:p>
            <w:pPr>
              <w:pStyle w:val="Compact"/>
              <w:keepNext/>
              <w:spacing w:before="0" w:after="0" w:line="276" w:lineRule="auto"/>
              <w:jc w:val="left"/>
            </w:pPr>
            <w:r>
              <w:rPr>
                <w:sz w:val="22"/>
              </w:rPr>
              <w:t xml:space="preserve">Strong</w:t>
            </w:r>
          </w:p>
        </w:tc>
      </w:tr>
      <w:tr>
        <w:trPr>
          <w:cantSplit/>
        </w:trPr>
        <w:tc>
          <w:tcPr>
            <w:tcW w:w="5785" w:type="dxa"/>
          </w:tcPr>
          <w:p>
            <w:pPr>
              <w:pStyle w:val="Compact"/>
              <w:keepNext/>
              <w:spacing w:before="0" w:after="0" w:line="276" w:lineRule="auto"/>
              <w:jc w:val="left"/>
            </w:pPr>
            <w:r>
              <w:rPr>
                <w:sz w:val="22"/>
              </w:rPr>
              <w:t xml:space="preserve">Add 50 kg/m³ blast furnace slag</w:t>
            </w:r>
          </w:p>
        </w:tc>
        <w:tc>
          <w:tcPr>
            <w:tcW w:w="1360" w:type="dxa"/>
          </w:tcPr>
          <w:p>
            <w:pPr>
              <w:pStyle w:val="Compact"/>
              <w:keepNext/>
              <w:spacing w:before="0" w:after="0" w:line="276" w:lineRule="auto"/>
              <w:jc w:val="right"/>
            </w:pPr>
            <w:r>
              <w:rPr>
                <w:sz w:val="22"/>
              </w:rPr>
              <w:t xml:space="preserve">+1.8</w:t>
            </w:r>
          </w:p>
        </w:tc>
        <w:tc>
          <w:tcPr>
            <w:tcW w:w="2214" w:type="dxa"/>
          </w:tcPr>
          <w:p>
            <w:pPr>
              <w:pStyle w:val="Compact"/>
              <w:keepNext/>
              <w:spacing w:before="0" w:after="0" w:line="276" w:lineRule="auto"/>
              <w:jc w:val="left"/>
            </w:pPr>
            <w:r>
              <w:rPr>
                <w:sz w:val="22"/>
              </w:rPr>
              <w:t xml:space="preserve">Strong</w:t>
            </w:r>
          </w:p>
        </w:tc>
      </w:tr>
      <w:tr>
        <w:trPr>
          <w:cantSplit/>
        </w:trPr>
        <w:tc>
          <w:tcPr>
            <w:tcW w:w="5785" w:type="dxa"/>
          </w:tcPr>
          <w:p>
            <w:pPr>
              <w:pStyle w:val="Compact"/>
              <w:keepNext/>
              <w:spacing w:before="0" w:after="0" w:line="276" w:lineRule="auto"/>
              <w:jc w:val="left"/>
            </w:pPr>
            <w:r>
              <w:rPr>
                <w:sz w:val="22"/>
              </w:rPr>
              <w:t xml:space="preserve">Replace 50 kg/m³ cement with slag (at 28 days)</w:t>
            </w:r>
          </w:p>
        </w:tc>
        <w:tc>
          <w:tcPr>
            <w:tcW w:w="1360" w:type="dxa"/>
          </w:tcPr>
          <w:p>
            <w:pPr>
              <w:pStyle w:val="Compact"/>
              <w:keepNext/>
              <w:spacing w:before="0" w:after="0" w:line="276" w:lineRule="auto"/>
              <w:jc w:val="right"/>
            </w:pPr>
            <w:r>
              <w:rPr>
                <w:sz w:val="22"/>
              </w:rPr>
              <w:t xml:space="preserve">−3.2</w:t>
            </w:r>
          </w:p>
        </w:tc>
        <w:tc>
          <w:tcPr>
            <w:tcW w:w="2214" w:type="dxa"/>
          </w:tcPr>
          <w:p>
            <w:pPr>
              <w:pStyle w:val="Compact"/>
              <w:keepNext/>
              <w:spacing w:before="0" w:after="0" w:line="276" w:lineRule="auto"/>
              <w:jc w:val="left"/>
            </w:pPr>
            <w:r>
              <w:rPr>
                <w:sz w:val="22"/>
              </w:rPr>
              <w:t xml:space="preserve">Strong</w:t>
            </w:r>
          </w:p>
        </w:tc>
      </w:tr>
      <w:tr>
        <w:trPr>
          <w:cantSplit/>
        </w:trPr>
        <w:tc>
          <w:tcPr>
            <w:tcW w:w="5785" w:type="dxa"/>
          </w:tcPr>
          <w:p>
            <w:pPr>
              <w:pStyle w:val="Compact"/>
              <w:keepNext/>
              <w:spacing w:before="0" w:after="0" w:line="276" w:lineRule="auto"/>
              <w:jc w:val="left"/>
            </w:pPr>
            <w:r>
              <w:rPr>
                <w:sz w:val="22"/>
              </w:rPr>
              <w:t xml:space="preserve">Add 5 kg/m³ superplasticizer (no change in water)</w:t>
            </w:r>
          </w:p>
        </w:tc>
        <w:tc>
          <w:tcPr>
            <w:tcW w:w="1360" w:type="dxa"/>
          </w:tcPr>
          <w:p>
            <w:pPr>
              <w:pStyle w:val="Compact"/>
              <w:keepNext/>
              <w:spacing w:before="0" w:after="0" w:line="276" w:lineRule="auto"/>
              <w:jc w:val="right"/>
            </w:pPr>
            <w:r>
              <w:rPr>
                <w:sz w:val="22"/>
              </w:rPr>
              <w:t xml:space="preserve">+0.9</w:t>
            </w:r>
          </w:p>
        </w:tc>
        <w:tc>
          <w:tcPr>
            <w:tcW w:w="2214" w:type="dxa"/>
          </w:tcPr>
          <w:p>
            <w:pPr>
              <w:pStyle w:val="Compact"/>
              <w:keepNext/>
              <w:spacing w:before="0" w:after="0" w:line="276" w:lineRule="auto"/>
              <w:jc w:val="left"/>
            </w:pPr>
            <w:r>
              <w:rPr>
                <w:sz w:val="22"/>
              </w:rPr>
              <w:t xml:space="preserve">Strong</w:t>
            </w:r>
          </w:p>
        </w:tc>
      </w:tr>
      <w:tr>
        <w:trPr>
          <w:cantSplit/>
        </w:trPr>
        <w:tc>
          <w:tcPr>
            <w:tcW w:w="5785" w:type="dxa"/>
          </w:tcPr>
          <w:p>
            <w:pPr>
              <w:pStyle w:val="Compact"/>
              <w:keepNext/>
              <w:spacing w:before="0" w:after="0" w:line="276" w:lineRule="auto"/>
              <w:jc w:val="left"/>
            </w:pPr>
            <w:r>
              <w:rPr>
                <w:sz w:val="22"/>
              </w:rPr>
              <w:t xml:space="preserve">Add 50 kg/m³ fly ash</w:t>
            </w:r>
          </w:p>
        </w:tc>
        <w:tc>
          <w:tcPr>
            <w:tcW w:w="1360" w:type="dxa"/>
          </w:tcPr>
          <w:p>
            <w:pPr>
              <w:pStyle w:val="Compact"/>
              <w:keepNext/>
              <w:spacing w:before="0" w:after="0" w:line="276" w:lineRule="auto"/>
              <w:jc w:val="right"/>
            </w:pPr>
            <w:r>
              <w:rPr>
                <w:sz w:val="22"/>
              </w:rPr>
              <w:t xml:space="preserve">+0.8</w:t>
            </w:r>
          </w:p>
        </w:tc>
        <w:tc>
          <w:tcPr>
            <w:tcW w:w="2214" w:type="dxa"/>
          </w:tcPr>
          <w:p>
            <w:pPr>
              <w:pStyle w:val="Compact"/>
              <w:keepNext/>
              <w:spacing w:before="0" w:after="0" w:line="276" w:lineRule="auto"/>
              <w:jc w:val="left"/>
            </w:pPr>
            <w:r>
              <w:rPr>
                <w:sz w:val="22"/>
              </w:rPr>
              <w:t xml:space="preserve">Weak (not reliable)</w:t>
            </w:r>
          </w:p>
        </w:tc>
      </w:tr>
      <w:tr>
        <w:trPr>
          <w:cantSplit/>
        </w:trPr>
        <w:tc>
          <w:tcPr>
            <w:tcW w:w="5785" w:type="dxa"/>
          </w:tcPr>
          <w:p>
            <w:pPr>
              <w:pStyle w:val="Compact"/>
              <w:keepNext/>
              <w:spacing w:before="0" w:after="0" w:line="276" w:lineRule="auto"/>
              <w:jc w:val="left"/>
            </w:pPr>
            <w:r>
              <w:rPr>
                <w:sz w:val="22"/>
              </w:rPr>
              <w:t xml:space="preserve">Add 50 kg/m³ coarse or fine aggregate</w:t>
            </w:r>
          </w:p>
        </w:tc>
        <w:tc>
          <w:tcPr>
            <w:tcW w:w="1360" w:type="dxa"/>
          </w:tcPr>
          <w:p>
            <w:pPr>
              <w:pStyle w:val="Compact"/>
              <w:keepNext/>
              <w:spacing w:before="0" w:after="0" w:line="276" w:lineRule="auto"/>
              <w:jc w:val="right"/>
            </w:pPr>
            <w:r>
              <w:rPr>
                <w:sz w:val="22"/>
              </w:rPr>
              <w:t xml:space="preserve">under ±0.5</w:t>
            </w:r>
          </w:p>
        </w:tc>
        <w:tc>
          <w:tcPr>
            <w:tcW w:w="2214" w:type="dxa"/>
          </w:tcPr>
          <w:p>
            <w:pPr>
              <w:pStyle w:val="Compact"/>
              <w:keepNext/>
              <w:spacing w:before="0" w:after="0" w:line="276" w:lineRule="auto"/>
              <w:jc w:val="left"/>
            </w:pPr>
            <w:r>
              <w:rPr>
                <w:sz w:val="22"/>
              </w:rPr>
              <w:t xml:space="preserve">Weak (not reliable)</w:t>
            </w:r>
          </w:p>
        </w:tc>
      </w:tr>
      <w:tr>
        <w:trPr>
          <w:cantSplit/>
        </w:trPr>
        <w:tc>
          <w:tcPr>
            <w:tcW w:w="5785" w:type="dxa"/>
          </w:tcPr>
          <w:p>
            <w:pPr>
              <w:pStyle w:val="Compact"/>
              <w:keepNext/>
              <w:spacing w:before="0" w:after="0" w:line="276" w:lineRule="auto"/>
              <w:jc w:val="left"/>
            </w:pPr>
            <w:r>
              <w:rPr>
                <w:sz w:val="22"/>
              </w:rPr>
              <w:t xml:space="preserve">Cure 28 days instead of 7</w:t>
            </w:r>
          </w:p>
        </w:tc>
        <w:tc>
          <w:tcPr>
            <w:tcW w:w="1360" w:type="dxa"/>
          </w:tcPr>
          <w:p>
            <w:pPr>
              <w:pStyle w:val="Compact"/>
              <w:keepNext/>
              <w:spacing w:before="0" w:after="0" w:line="276" w:lineRule="auto"/>
              <w:jc w:val="right"/>
            </w:pPr>
            <w:r>
              <w:rPr>
                <w:sz w:val="22"/>
              </w:rPr>
              <w:t xml:space="preserve">+11.6</w:t>
            </w:r>
          </w:p>
        </w:tc>
        <w:tc>
          <w:tcPr>
            <w:tcW w:w="2214" w:type="dxa"/>
          </w:tcPr>
          <w:p>
            <w:pPr>
              <w:pStyle w:val="Compact"/>
              <w:keepNext/>
              <w:spacing w:before="0" w:after="0" w:line="276" w:lineRule="auto"/>
              <w:jc w:val="left"/>
            </w:pPr>
            <w:r>
              <w:rPr>
                <w:sz w:val="22"/>
              </w:rPr>
              <w:t xml:space="preserve">Strong</w:t>
            </w:r>
          </w:p>
        </w:tc>
      </w:tr>
      <w:tr>
        <w:trPr>
          <w:cantSplit/>
        </w:trPr>
        <w:tc>
          <w:tcPr>
            <w:tcW w:w="5785" w:type="dxa"/>
          </w:tcPr>
          <w:p>
            <w:pPr>
              <w:pStyle w:val="Compact"/>
              <w:spacing w:before="0" w:after="0" w:line="276" w:lineRule="auto"/>
              <w:jc w:val="left"/>
            </w:pPr>
            <w:r>
              <w:rPr>
                <w:sz w:val="22"/>
              </w:rPr>
              <w:t xml:space="preserve">Cure 56 days instead of 28</w:t>
            </w:r>
          </w:p>
        </w:tc>
        <w:tc>
          <w:tcPr>
            <w:tcW w:w="1360" w:type="dxa"/>
          </w:tcPr>
          <w:p>
            <w:pPr>
              <w:pStyle w:val="Compact"/>
              <w:spacing w:before="0" w:after="0" w:line="276" w:lineRule="auto"/>
              <w:jc w:val="right"/>
            </w:pPr>
            <w:r>
              <w:rPr>
                <w:sz w:val="22"/>
              </w:rPr>
              <w:t xml:space="preserve">+6.1</w:t>
            </w:r>
          </w:p>
        </w:tc>
        <w:tc>
          <w:tcPr>
            <w:tcW w:w="2214" w:type="dxa"/>
          </w:tcPr>
          <w:p>
            <w:pPr>
              <w:pStyle w:val="Compact"/>
              <w:spacing w:before="0" w:after="0" w:line="276" w:lineRule="auto"/>
              <w:jc w:val="left"/>
            </w:pPr>
            <w:r>
              <w:rPr>
                <w:sz w:val="22"/>
              </w:rPr>
              <w:t xml:space="preserve">Strong</w:t>
            </w:r>
          </w:p>
        </w:tc>
      </w:tr>
    </w:tbl>
    <w:bookmarkStart w:id="32" w:name="key-physical-interactions"/>
    <w:p>
      <w:pPr>
        <w:pStyle w:val="Heading2"/>
      </w:pPr>
      <w:r>
        <w:t xml:space="preserve">Key physical interactions</w:t>
      </w:r>
    </w:p>
    <w:p>
      <w:pPr>
        <w:pStyle w:val="Compact"/>
        <w:numPr>
          <w:ilvl w:val="0"/>
          <w:numId w:val="1004"/>
        </w:numPr>
      </w:pPr>
      <w:r>
        <w:rPr>
          <w:b/>
          <w:bCs/>
        </w:rPr>
        <w:t xml:space="preserve">The water-to-cement trade-off.</w:t>
      </w:r>
      <w:r>
        <w:t xml:space="preserve"> </w:t>
      </w:r>
      <w:r>
        <w:t xml:space="preserve">Table 4 groups the 28-day mixes by water-to-cement ratio. At or below 0.50, every mix reached 30 MPa; above 0.80, the median was only 27 MPa. Counting slag and fly ash as binder tracks strength even more closely, which confirms that they do part of cement’s job.</w:t>
      </w:r>
    </w:p>
    <w:p>
      <w:pPr>
        <w:pStyle w:val="Compact"/>
        <w:numPr>
          <w:ilvl w:val="0"/>
          <w:numId w:val="1004"/>
        </w:numPr>
      </w:pPr>
      <w:r>
        <w:rPr>
          <w:b/>
          <w:bCs/>
        </w:rPr>
        <w:t xml:space="preserve">Superplasticizer works through water.</w:t>
      </w:r>
      <w:r>
        <w:t xml:space="preserve"> </w:t>
      </w:r>
      <w:r>
        <w:t xml:space="preserve">On its own it adds only about 0.9 MPa. Its real value is the 26 kg/m³ of water it lets crews remove, which is worth about 5.9 MPa.</w:t>
      </w:r>
    </w:p>
    <w:p>
      <w:pPr>
        <w:pStyle w:val="Compact"/>
        <w:numPr>
          <w:ilvl w:val="0"/>
          <w:numId w:val="1004"/>
        </w:numPr>
      </w:pPr>
      <w:r>
        <w:rPr>
          <w:b/>
          <w:bCs/>
        </w:rPr>
        <w:t xml:space="preserve">Slag needs time.</w:t>
      </w:r>
      <w:r>
        <w:t xml:space="preserve"> </w:t>
      </w:r>
      <w:r>
        <w:t xml:space="preserve">Swapping cement for slag costs some 28-day strength, but slag mixes were stronger than slag-free mixes at every age, and the gap widened after 28 days.</w:t>
      </w:r>
    </w:p>
    <w:p>
      <w:pPr>
        <w:pStyle w:val="TableCaption"/>
      </w:pPr>
      <w:r>
        <w:rPr>
          <w:b/>
          <w:bCs/>
        </w:rPr>
        <w:t xml:space="preserve">Table 4.</w:t>
      </w:r>
      <w:r>
        <w:t xml:space="preserve"> </w:t>
      </w:r>
      <w:r>
        <w:t xml:space="preserve">28-day strength of the 384 training mixes tested at 28 days, by water-to-cement ratio.</w:t>
      </w:r>
    </w:p>
    <w:tbl>
      <w:tblPr>
        <w:tblStyle w:val="Table"/>
        <w:tblW w:type="dxa" w:w="7702"/>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4. 28-day strength of the 384 training mixes tested at 28 days, by water-to-cement ratio."/>
      </w:tblPr>
      <w:tblGrid>
        <w:gridCol w:w="2156"/>
        <w:gridCol w:w="836"/>
        <w:gridCol w:w="968"/>
        <w:gridCol w:w="1542"/>
        <w:gridCol w:w="1100"/>
        <w:gridCol w:w="1100"/>
      </w:tblGrid>
      <w:tr>
        <w:trPr>
          <w:cantSplit/>
          <w:tblHeader w:val="on"/>
        </w:trPr>
        <w:tc>
          <w:tcPr>
            <w:tcW w:w="2156"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Water-to-cement ratio</w:t>
            </w:r>
          </w:p>
        </w:tc>
        <w:tc>
          <w:tcPr>
            <w:tcW w:w="836"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Mixes</w:t>
            </w:r>
          </w:p>
        </w:tc>
        <w:tc>
          <w:tcPr>
            <w:tcW w:w="96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Median (MPa)</w:t>
            </w:r>
          </w:p>
        </w:tc>
        <w:tc>
          <w:tcPr>
            <w:tcW w:w="1542"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Weakest 10% below (MPa)</w:t>
            </w:r>
          </w:p>
        </w:tc>
        <w:tc>
          <w:tcPr>
            <w:tcW w:w="110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Reached 30 MPa</w:t>
            </w:r>
          </w:p>
        </w:tc>
        <w:tc>
          <w:tcPr>
            <w:tcW w:w="110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Reached 40 MPa</w:t>
            </w:r>
          </w:p>
        </w:tc>
      </w:tr>
      <w:tr>
        <w:trPr>
          <w:cantSplit/>
        </w:trPr>
        <w:tc>
          <w:tcPr>
            <w:tcW w:w="2156" w:type="dxa"/>
          </w:tcPr>
          <w:p>
            <w:pPr>
              <w:pStyle w:val="Compact"/>
              <w:keepNext/>
              <w:spacing w:before="0" w:after="0" w:line="276" w:lineRule="auto"/>
              <w:jc w:val="left"/>
            </w:pPr>
            <w:r>
              <w:rPr>
                <w:sz w:val="22"/>
              </w:rPr>
              <w:t xml:space="preserve">0.40 or less</w:t>
            </w:r>
          </w:p>
        </w:tc>
        <w:tc>
          <w:tcPr>
            <w:tcW w:w="836" w:type="dxa"/>
          </w:tcPr>
          <w:p>
            <w:pPr>
              <w:pStyle w:val="Compact"/>
              <w:keepNext/>
              <w:spacing w:before="0" w:after="0" w:line="276" w:lineRule="auto"/>
              <w:jc w:val="right"/>
            </w:pPr>
            <w:r>
              <w:rPr>
                <w:sz w:val="22"/>
              </w:rPr>
              <w:t xml:space="preserve">34</w:t>
            </w:r>
          </w:p>
        </w:tc>
        <w:tc>
          <w:tcPr>
            <w:tcW w:w="968" w:type="dxa"/>
          </w:tcPr>
          <w:p>
            <w:pPr>
              <w:pStyle w:val="Compact"/>
              <w:keepNext/>
              <w:spacing w:before="0" w:after="0" w:line="276" w:lineRule="auto"/>
              <w:jc w:val="right"/>
            </w:pPr>
            <w:r>
              <w:rPr>
                <w:sz w:val="22"/>
              </w:rPr>
              <w:t xml:space="preserve">60.3</w:t>
            </w:r>
          </w:p>
        </w:tc>
        <w:tc>
          <w:tcPr>
            <w:tcW w:w="1542" w:type="dxa"/>
          </w:tcPr>
          <w:p>
            <w:pPr>
              <w:pStyle w:val="Compact"/>
              <w:keepNext/>
              <w:spacing w:before="0" w:after="0" w:line="276" w:lineRule="auto"/>
              <w:jc w:val="right"/>
            </w:pPr>
            <w:r>
              <w:rPr>
                <w:sz w:val="22"/>
              </w:rPr>
              <w:t xml:space="preserve">44.1</w:t>
            </w:r>
          </w:p>
        </w:tc>
        <w:tc>
          <w:tcPr>
            <w:tcW w:w="1100" w:type="dxa"/>
          </w:tcPr>
          <w:p>
            <w:pPr>
              <w:pStyle w:val="Compact"/>
              <w:keepNext/>
              <w:spacing w:before="0" w:after="0" w:line="276" w:lineRule="auto"/>
              <w:jc w:val="right"/>
            </w:pPr>
            <w:r>
              <w:rPr>
                <w:sz w:val="22"/>
              </w:rPr>
              <w:t xml:space="preserve">100%</w:t>
            </w:r>
          </w:p>
        </w:tc>
        <w:tc>
          <w:tcPr>
            <w:tcW w:w="1100" w:type="dxa"/>
          </w:tcPr>
          <w:p>
            <w:pPr>
              <w:pStyle w:val="Compact"/>
              <w:keepNext/>
              <w:spacing w:before="0" w:after="0" w:line="276" w:lineRule="auto"/>
              <w:jc w:val="right"/>
            </w:pPr>
            <w:r>
              <w:rPr>
                <w:sz w:val="22"/>
              </w:rPr>
              <w:t xml:space="preserve">100%</w:t>
            </w:r>
          </w:p>
        </w:tc>
      </w:tr>
      <w:tr>
        <w:trPr>
          <w:cantSplit/>
        </w:trPr>
        <w:tc>
          <w:tcPr>
            <w:tcW w:w="2156" w:type="dxa"/>
          </w:tcPr>
          <w:p>
            <w:pPr>
              <w:pStyle w:val="Compact"/>
              <w:keepNext/>
              <w:spacing w:before="0" w:after="0" w:line="276" w:lineRule="auto"/>
              <w:jc w:val="left"/>
            </w:pPr>
            <w:r>
              <w:rPr>
                <w:sz w:val="22"/>
              </w:rPr>
              <w:t xml:space="preserve">0.40 to 0.50</w:t>
            </w:r>
          </w:p>
        </w:tc>
        <w:tc>
          <w:tcPr>
            <w:tcW w:w="836" w:type="dxa"/>
          </w:tcPr>
          <w:p>
            <w:pPr>
              <w:pStyle w:val="Compact"/>
              <w:keepNext/>
              <w:spacing w:before="0" w:after="0" w:line="276" w:lineRule="auto"/>
              <w:jc w:val="right"/>
            </w:pPr>
            <w:r>
              <w:rPr>
                <w:sz w:val="22"/>
              </w:rPr>
              <w:t xml:space="preserve">32</w:t>
            </w:r>
          </w:p>
        </w:tc>
        <w:tc>
          <w:tcPr>
            <w:tcW w:w="968" w:type="dxa"/>
          </w:tcPr>
          <w:p>
            <w:pPr>
              <w:pStyle w:val="Compact"/>
              <w:keepNext/>
              <w:spacing w:before="0" w:after="0" w:line="276" w:lineRule="auto"/>
              <w:jc w:val="right"/>
            </w:pPr>
            <w:r>
              <w:rPr>
                <w:sz w:val="22"/>
              </w:rPr>
              <w:t xml:space="preserve">50.5</w:t>
            </w:r>
          </w:p>
        </w:tc>
        <w:tc>
          <w:tcPr>
            <w:tcW w:w="1542" w:type="dxa"/>
          </w:tcPr>
          <w:p>
            <w:pPr>
              <w:pStyle w:val="Compact"/>
              <w:keepNext/>
              <w:spacing w:before="0" w:after="0" w:line="276" w:lineRule="auto"/>
              <w:jc w:val="right"/>
            </w:pPr>
            <w:r>
              <w:rPr>
                <w:sz w:val="22"/>
              </w:rPr>
              <w:t xml:space="preserve">37.5</w:t>
            </w:r>
          </w:p>
        </w:tc>
        <w:tc>
          <w:tcPr>
            <w:tcW w:w="1100" w:type="dxa"/>
          </w:tcPr>
          <w:p>
            <w:pPr>
              <w:pStyle w:val="Compact"/>
              <w:keepNext/>
              <w:spacing w:before="0" w:after="0" w:line="276" w:lineRule="auto"/>
              <w:jc w:val="right"/>
            </w:pPr>
            <w:r>
              <w:rPr>
                <w:sz w:val="22"/>
              </w:rPr>
              <w:t xml:space="preserve">100%</w:t>
            </w:r>
          </w:p>
        </w:tc>
        <w:tc>
          <w:tcPr>
            <w:tcW w:w="1100" w:type="dxa"/>
          </w:tcPr>
          <w:p>
            <w:pPr>
              <w:pStyle w:val="Compact"/>
              <w:keepNext/>
              <w:spacing w:before="0" w:after="0" w:line="276" w:lineRule="auto"/>
              <w:jc w:val="right"/>
            </w:pPr>
            <w:r>
              <w:rPr>
                <w:sz w:val="22"/>
              </w:rPr>
              <w:t xml:space="preserve">72%</w:t>
            </w:r>
          </w:p>
        </w:tc>
      </w:tr>
      <w:tr>
        <w:trPr>
          <w:cantSplit/>
        </w:trPr>
        <w:tc>
          <w:tcPr>
            <w:tcW w:w="2156" w:type="dxa"/>
          </w:tcPr>
          <w:p>
            <w:pPr>
              <w:pStyle w:val="Compact"/>
              <w:keepNext/>
              <w:spacing w:before="0" w:after="0" w:line="276" w:lineRule="auto"/>
              <w:jc w:val="left"/>
            </w:pPr>
            <w:r>
              <w:rPr>
                <w:sz w:val="22"/>
              </w:rPr>
              <w:t xml:space="preserve">0.50 to 0.60</w:t>
            </w:r>
          </w:p>
        </w:tc>
        <w:tc>
          <w:tcPr>
            <w:tcW w:w="836" w:type="dxa"/>
          </w:tcPr>
          <w:p>
            <w:pPr>
              <w:pStyle w:val="Compact"/>
              <w:keepNext/>
              <w:spacing w:before="0" w:after="0" w:line="276" w:lineRule="auto"/>
              <w:jc w:val="right"/>
            </w:pPr>
            <w:r>
              <w:rPr>
                <w:sz w:val="22"/>
              </w:rPr>
              <w:t xml:space="preserve">69</w:t>
            </w:r>
          </w:p>
        </w:tc>
        <w:tc>
          <w:tcPr>
            <w:tcW w:w="968" w:type="dxa"/>
          </w:tcPr>
          <w:p>
            <w:pPr>
              <w:pStyle w:val="Compact"/>
              <w:keepNext/>
              <w:spacing w:before="0" w:after="0" w:line="276" w:lineRule="auto"/>
              <w:jc w:val="right"/>
            </w:pPr>
            <w:r>
              <w:rPr>
                <w:sz w:val="22"/>
              </w:rPr>
              <w:t xml:space="preserve">41.1</w:t>
            </w:r>
          </w:p>
        </w:tc>
        <w:tc>
          <w:tcPr>
            <w:tcW w:w="1542" w:type="dxa"/>
          </w:tcPr>
          <w:p>
            <w:pPr>
              <w:pStyle w:val="Compact"/>
              <w:keepNext/>
              <w:spacing w:before="0" w:after="0" w:line="276" w:lineRule="auto"/>
              <w:jc w:val="right"/>
            </w:pPr>
            <w:r>
              <w:rPr>
                <w:sz w:val="22"/>
              </w:rPr>
              <w:t xml:space="preserve">31.8</w:t>
            </w:r>
          </w:p>
        </w:tc>
        <w:tc>
          <w:tcPr>
            <w:tcW w:w="1100" w:type="dxa"/>
          </w:tcPr>
          <w:p>
            <w:pPr>
              <w:pStyle w:val="Compact"/>
              <w:keepNext/>
              <w:spacing w:before="0" w:after="0" w:line="276" w:lineRule="auto"/>
              <w:jc w:val="right"/>
            </w:pPr>
            <w:r>
              <w:rPr>
                <w:sz w:val="22"/>
              </w:rPr>
              <w:t xml:space="preserve">96%</w:t>
            </w:r>
          </w:p>
        </w:tc>
        <w:tc>
          <w:tcPr>
            <w:tcW w:w="1100" w:type="dxa"/>
          </w:tcPr>
          <w:p>
            <w:pPr>
              <w:pStyle w:val="Compact"/>
              <w:keepNext/>
              <w:spacing w:before="0" w:after="0" w:line="276" w:lineRule="auto"/>
              <w:jc w:val="right"/>
            </w:pPr>
            <w:r>
              <w:rPr>
                <w:sz w:val="22"/>
              </w:rPr>
              <w:t xml:space="preserve">58%</w:t>
            </w:r>
          </w:p>
        </w:tc>
      </w:tr>
      <w:tr>
        <w:trPr>
          <w:cantSplit/>
        </w:trPr>
        <w:tc>
          <w:tcPr>
            <w:tcW w:w="2156" w:type="dxa"/>
          </w:tcPr>
          <w:p>
            <w:pPr>
              <w:pStyle w:val="Compact"/>
              <w:keepNext/>
              <w:spacing w:before="0" w:after="0" w:line="276" w:lineRule="auto"/>
              <w:jc w:val="left"/>
            </w:pPr>
            <w:r>
              <w:rPr>
                <w:sz w:val="22"/>
              </w:rPr>
              <w:t xml:space="preserve">0.60 to 0.80</w:t>
            </w:r>
          </w:p>
        </w:tc>
        <w:tc>
          <w:tcPr>
            <w:tcW w:w="836" w:type="dxa"/>
          </w:tcPr>
          <w:p>
            <w:pPr>
              <w:pStyle w:val="Compact"/>
              <w:keepNext/>
              <w:spacing w:before="0" w:after="0" w:line="276" w:lineRule="auto"/>
              <w:jc w:val="right"/>
            </w:pPr>
            <w:r>
              <w:rPr>
                <w:sz w:val="22"/>
              </w:rPr>
              <w:t xml:space="preserve">89</w:t>
            </w:r>
          </w:p>
        </w:tc>
        <w:tc>
          <w:tcPr>
            <w:tcW w:w="968" w:type="dxa"/>
          </w:tcPr>
          <w:p>
            <w:pPr>
              <w:pStyle w:val="Compact"/>
              <w:keepNext/>
              <w:spacing w:before="0" w:after="0" w:line="276" w:lineRule="auto"/>
              <w:jc w:val="right"/>
            </w:pPr>
            <w:r>
              <w:rPr>
                <w:sz w:val="22"/>
              </w:rPr>
              <w:t xml:space="preserve">33.4</w:t>
            </w:r>
          </w:p>
        </w:tc>
        <w:tc>
          <w:tcPr>
            <w:tcW w:w="1542" w:type="dxa"/>
          </w:tcPr>
          <w:p>
            <w:pPr>
              <w:pStyle w:val="Compact"/>
              <w:keepNext/>
              <w:spacing w:before="0" w:after="0" w:line="276" w:lineRule="auto"/>
              <w:jc w:val="right"/>
            </w:pPr>
            <w:r>
              <w:rPr>
                <w:sz w:val="22"/>
              </w:rPr>
              <w:t xml:space="preserve">23.6</w:t>
            </w:r>
          </w:p>
        </w:tc>
        <w:tc>
          <w:tcPr>
            <w:tcW w:w="1100" w:type="dxa"/>
          </w:tcPr>
          <w:p>
            <w:pPr>
              <w:pStyle w:val="Compact"/>
              <w:keepNext/>
              <w:spacing w:before="0" w:after="0" w:line="276" w:lineRule="auto"/>
              <w:jc w:val="right"/>
            </w:pPr>
            <w:r>
              <w:rPr>
                <w:sz w:val="22"/>
              </w:rPr>
              <w:t xml:space="preserve">75%</w:t>
            </w:r>
          </w:p>
        </w:tc>
        <w:tc>
          <w:tcPr>
            <w:tcW w:w="1100" w:type="dxa"/>
          </w:tcPr>
          <w:p>
            <w:pPr>
              <w:pStyle w:val="Compact"/>
              <w:keepNext/>
              <w:spacing w:before="0" w:after="0" w:line="276" w:lineRule="auto"/>
              <w:jc w:val="right"/>
            </w:pPr>
            <w:r>
              <w:rPr>
                <w:sz w:val="22"/>
              </w:rPr>
              <w:t xml:space="preserve">35%</w:t>
            </w:r>
          </w:p>
        </w:tc>
      </w:tr>
      <w:tr>
        <w:trPr>
          <w:cantSplit/>
        </w:trPr>
        <w:tc>
          <w:tcPr>
            <w:tcW w:w="2156" w:type="dxa"/>
          </w:tcPr>
          <w:p>
            <w:pPr>
              <w:pStyle w:val="Compact"/>
              <w:spacing w:before="0" w:after="0" w:line="276" w:lineRule="auto"/>
              <w:jc w:val="left"/>
            </w:pPr>
            <w:r>
              <w:rPr>
                <w:sz w:val="22"/>
              </w:rPr>
              <w:t xml:space="preserve">above 0.80</w:t>
            </w:r>
          </w:p>
        </w:tc>
        <w:tc>
          <w:tcPr>
            <w:tcW w:w="836" w:type="dxa"/>
          </w:tcPr>
          <w:p>
            <w:pPr>
              <w:pStyle w:val="Compact"/>
              <w:spacing w:before="0" w:after="0" w:line="276" w:lineRule="auto"/>
              <w:jc w:val="right"/>
            </w:pPr>
            <w:r>
              <w:rPr>
                <w:sz w:val="22"/>
              </w:rPr>
              <w:t xml:space="preserve">160</w:t>
            </w:r>
          </w:p>
        </w:tc>
        <w:tc>
          <w:tcPr>
            <w:tcW w:w="968" w:type="dxa"/>
          </w:tcPr>
          <w:p>
            <w:pPr>
              <w:pStyle w:val="Compact"/>
              <w:spacing w:before="0" w:after="0" w:line="276" w:lineRule="auto"/>
              <w:jc w:val="right"/>
            </w:pPr>
            <w:r>
              <w:rPr>
                <w:sz w:val="22"/>
              </w:rPr>
              <w:t xml:space="preserve">27.5</w:t>
            </w:r>
          </w:p>
        </w:tc>
        <w:tc>
          <w:tcPr>
            <w:tcW w:w="1542" w:type="dxa"/>
          </w:tcPr>
          <w:p>
            <w:pPr>
              <w:pStyle w:val="Compact"/>
              <w:spacing w:before="0" w:after="0" w:line="276" w:lineRule="auto"/>
              <w:jc w:val="right"/>
            </w:pPr>
            <w:r>
              <w:rPr>
                <w:sz w:val="22"/>
              </w:rPr>
              <w:t xml:space="preserve">14.9</w:t>
            </w:r>
          </w:p>
        </w:tc>
        <w:tc>
          <w:tcPr>
            <w:tcW w:w="1100" w:type="dxa"/>
          </w:tcPr>
          <w:p>
            <w:pPr>
              <w:pStyle w:val="Compact"/>
              <w:spacing w:before="0" w:after="0" w:line="276" w:lineRule="auto"/>
              <w:jc w:val="right"/>
            </w:pPr>
            <w:r>
              <w:rPr>
                <w:sz w:val="22"/>
              </w:rPr>
              <w:t xml:space="preserve">37%</w:t>
            </w:r>
          </w:p>
        </w:tc>
        <w:tc>
          <w:tcPr>
            <w:tcW w:w="1100" w:type="dxa"/>
          </w:tcPr>
          <w:p>
            <w:pPr>
              <w:pStyle w:val="Compact"/>
              <w:spacing w:before="0" w:after="0" w:line="276" w:lineRule="auto"/>
              <w:jc w:val="right"/>
            </w:pPr>
            <w:r>
              <w:rPr>
                <w:sz w:val="22"/>
              </w:rPr>
              <w:t xml:space="preserve">7%</w:t>
            </w:r>
          </w:p>
        </w:tc>
      </w:tr>
    </w:tbl>
    <w:bookmarkEnd w:id="32"/>
    <w:bookmarkEnd w:id="33"/>
    <w:bookmarkStart w:id="37" w:name="X3ce7116e4d62313207479d3efa68be9bbf460d6"/>
    <w:p>
      <w:pPr>
        <w:pStyle w:val="Heading1"/>
      </w:pPr>
      <w:r>
        <w:t xml:space="preserve">Strategic Recommendations &amp; Implementation Plan</w:t>
      </w:r>
    </w:p>
    <w:bookmarkStart w:id="34" w:name="operational-rules"/>
    <w:p>
      <w:pPr>
        <w:pStyle w:val="Heading2"/>
      </w:pPr>
      <w:r>
        <w:t xml:space="preserve">Operational rules</w:t>
      </w:r>
    </w:p>
    <w:p>
      <w:pPr>
        <w:pStyle w:val="Compact"/>
        <w:numPr>
          <w:ilvl w:val="0"/>
          <w:numId w:val="1005"/>
        </w:numPr>
      </w:pPr>
      <w:r>
        <w:rPr>
          <w:b/>
          <w:bCs/>
        </w:rPr>
        <w:t xml:space="preserve">Cap the water-to-cement ratio at 0.50 for structural grades and at 0.40 for high-strength work.</w:t>
      </w:r>
      <w:r>
        <w:t xml:space="preserve"> </w:t>
      </w:r>
      <w:r>
        <w:t xml:space="preserve">In the data, every 28-day mix at or below 0.50 reached 30 MPa, and every mix at or below 0.40 reached 40 MPa (Table 4).</w:t>
      </w:r>
    </w:p>
    <w:p>
      <w:pPr>
        <w:pStyle w:val="Compact"/>
        <w:numPr>
          <w:ilvl w:val="0"/>
          <w:numId w:val="1005"/>
        </w:numPr>
      </w:pPr>
      <w:r>
        <w:rPr>
          <w:b/>
          <w:bCs/>
        </w:rPr>
        <w:t xml:space="preserve">Cut water with superplasticizer before adding cement.</w:t>
      </w:r>
      <w:r>
        <w:t xml:space="preserve"> </w:t>
      </w:r>
      <w:r>
        <w:t xml:space="preserve">Removing 26 kg/m³ of water is worth about 5.9 MPa, more than an extra 50 kg/m³ of cement (4.1 MPa), without that cement’s cost and carbon. Confirm workability with a slump test whenever the dosage changes.</w:t>
      </w:r>
    </w:p>
    <w:p>
      <w:pPr>
        <w:pStyle w:val="Compact"/>
        <w:numPr>
          <w:ilvl w:val="0"/>
          <w:numId w:val="1005"/>
        </w:numPr>
      </w:pPr>
      <w:r>
        <w:rPr>
          <w:b/>
          <w:bCs/>
        </w:rPr>
        <w:t xml:space="preserve">Use slag as a partial cement substitute, paired with less water.</w:t>
      </w:r>
      <w:r>
        <w:t xml:space="preserve"> </w:t>
      </w:r>
      <w:r>
        <w:t xml:space="preserve">Each 50 kg/m³ of cement replaced by slag costs about 3.2 MPa at 28 days, and removing roughly 15 kg/m³ of water recovers it. Where the schedule allows, specify 56-day acceptance for slag-rich mixes.</w:t>
      </w:r>
    </w:p>
    <w:p>
      <w:pPr>
        <w:pStyle w:val="Compact"/>
        <w:numPr>
          <w:ilvl w:val="0"/>
          <w:numId w:val="1005"/>
        </w:numPr>
      </w:pPr>
      <w:r>
        <w:rPr>
          <w:b/>
          <w:bCs/>
        </w:rPr>
        <w:t xml:space="preserve">Use 7-day results as an early warning.</w:t>
      </w:r>
      <w:r>
        <w:t xml:space="preserve"> </w:t>
      </w:r>
      <w:r>
        <w:t xml:space="preserve">A typical mix reaches about 71% of its 28-day strength at 7 days. A 7-day cylinder below 70% of the 28-day target should trigger a hold on dependent work and an investigation.</w:t>
      </w:r>
    </w:p>
    <w:bookmarkEnd w:id="34"/>
    <w:bookmarkStart w:id="35" w:name="risk-mitigation"/>
    <w:p>
      <w:pPr>
        <w:pStyle w:val="Heading2"/>
      </w:pPr>
      <w:r>
        <w:t xml:space="preserve">Risk mitigation</w:t>
      </w:r>
    </w:p>
    <w:p>
      <w:pPr>
        <w:pStyle w:val="FirstParagraph"/>
      </w:pPr>
      <w:r>
        <w:t xml:space="preserve">The model leaves about a quarter of the variation unexplained. It comes from factors the data does not record: cement type, aggregate source and moisture, temperature, humidity, curing practice and testing variability. The data also comes from a single laboratory study, so the client’s local aggregates may behave differently.</w:t>
      </w:r>
    </w:p>
    <w:p>
      <w:pPr>
        <w:pStyle w:val="Compact"/>
        <w:numPr>
          <w:ilvl w:val="0"/>
          <w:numId w:val="1006"/>
        </w:numPr>
      </w:pPr>
      <w:r>
        <w:rPr>
          <w:b/>
          <w:bCs/>
        </w:rPr>
        <w:t xml:space="preserve">Calibrate locally first:</w:t>
      </w:r>
      <w:r>
        <w:t xml:space="preserve"> </w:t>
      </w:r>
      <w:r>
        <w:t xml:space="preserve">run 20–30 trial batches with the client’s own materials and compare them with the model before relying on it.</w:t>
      </w:r>
    </w:p>
    <w:p>
      <w:pPr>
        <w:pStyle w:val="Compact"/>
        <w:numPr>
          <w:ilvl w:val="0"/>
          <w:numId w:val="1006"/>
        </w:numPr>
      </w:pPr>
      <w:r>
        <w:rPr>
          <w:b/>
          <w:bCs/>
        </w:rPr>
        <w:t xml:space="preserve">Keep a safety margin:</w:t>
      </w:r>
      <w:r>
        <w:t xml:space="preserve"> </w:t>
      </w:r>
      <w:r>
        <w:t xml:space="preserve">approve a mix only if its prediction beats the specification by 11 MPa or more (the 7.4 MPa typical error plus the 3.4 MPa average over-prediction).</w:t>
      </w:r>
    </w:p>
    <w:p>
      <w:pPr>
        <w:pStyle w:val="Compact"/>
        <w:numPr>
          <w:ilvl w:val="0"/>
          <w:numId w:val="1006"/>
        </w:numPr>
      </w:pPr>
      <w:r>
        <w:rPr>
          <w:b/>
          <w:bCs/>
        </w:rPr>
        <w:t xml:space="preserve">Stay inside the tested ranges</w:t>
      </w:r>
      <w:r>
        <w:t xml:space="preserve"> </w:t>
      </w:r>
      <w:r>
        <w:t xml:space="preserve">in Table 1, and never extrapolate past 90 days of curing.</w:t>
      </w:r>
    </w:p>
    <w:p>
      <w:pPr>
        <w:pStyle w:val="Compact"/>
        <w:numPr>
          <w:ilvl w:val="0"/>
          <w:numId w:val="1006"/>
        </w:numPr>
      </w:pPr>
      <w:r>
        <w:rPr>
          <w:b/>
          <w:bCs/>
        </w:rPr>
        <w:t xml:space="preserve">Never accept a batch on the prediction alone.</w:t>
      </w:r>
      <w:r>
        <w:t xml:space="preserve"> </w:t>
      </w:r>
      <w:r>
        <w:t xml:space="preserve">Cylinder tests remain the acceptance criterion.</w:t>
      </w:r>
    </w:p>
    <w:bookmarkEnd w:id="35"/>
    <w:bookmarkStart w:id="36" w:name="continuous-monitoring-framework"/>
    <w:p>
      <w:pPr>
        <w:pStyle w:val="Heading2"/>
      </w:pPr>
      <w:r>
        <w:t xml:space="preserve">Continuous monitoring framework</w:t>
      </w:r>
    </w:p>
    <w:p>
      <w:pPr>
        <w:pStyle w:val="Compact"/>
        <w:numPr>
          <w:ilvl w:val="0"/>
          <w:numId w:val="1007"/>
        </w:numPr>
      </w:pPr>
      <w:r>
        <w:rPr>
          <w:b/>
          <w:bCs/>
        </w:rPr>
        <w:t xml:space="preserve">Record every batch:</w:t>
      </w:r>
      <w:r>
        <w:t xml:space="preserve"> </w:t>
      </w:r>
      <w:r>
        <w:t xml:space="preserve">the mix proportions, the model’s 7- and 28-day predictions, and the cylinder results.</w:t>
      </w:r>
    </w:p>
    <w:p>
      <w:pPr>
        <w:pStyle w:val="Compact"/>
        <w:numPr>
          <w:ilvl w:val="0"/>
          <w:numId w:val="1007"/>
        </w:numPr>
      </w:pPr>
      <w:r>
        <w:rPr>
          <w:b/>
          <w:bCs/>
        </w:rPr>
        <w:t xml:space="preserve">Chart the gap</w:t>
      </w:r>
      <w:r>
        <w:t xml:space="preserve"> </w:t>
      </w:r>
      <w:r>
        <w:t xml:space="preserve">between measured and predicted strength: investigate gaps over 15 MPa and stop work above 22 MPa (two and three times the typical error).</w:t>
      </w:r>
    </w:p>
    <w:p>
      <w:pPr>
        <w:pStyle w:val="Compact"/>
        <w:numPr>
          <w:ilvl w:val="0"/>
          <w:numId w:val="1007"/>
        </w:numPr>
      </w:pPr>
      <w:r>
        <w:rPr>
          <w:b/>
          <w:bCs/>
        </w:rPr>
        <w:t xml:space="preserve">Watch for drift:</w:t>
      </w:r>
      <w:r>
        <w:t xml:space="preserve"> </w:t>
      </w:r>
      <w:r>
        <w:t xml:space="preserve">recalibrate if the average gap over the last 30 batches exceeds ±3 MPa, or if fewer than 75% of batches fall within 10 MPa (today’s benchmark is 81%).</w:t>
      </w:r>
    </w:p>
    <w:p>
      <w:pPr>
        <w:pStyle w:val="Compact"/>
        <w:numPr>
          <w:ilvl w:val="0"/>
          <w:numId w:val="1007"/>
        </w:numPr>
      </w:pPr>
      <w:r>
        <w:rPr>
          <w:b/>
          <w:bCs/>
        </w:rPr>
        <w:t xml:space="preserve">Refit the model quarterly</w:t>
      </w:r>
      <w:r>
        <w:t xml:space="preserve">, and immediately after any change of cement, admixture or aggregate supplier. The quality-assurance manager should review the dashboard monthly.</w:t>
      </w:r>
    </w:p>
    <w:bookmarkEnd w:id="36"/>
    <w:bookmarkEnd w:id="37"/>
    <w:sectPr>
      <w:footerReference r:id="rId9" w:type="default"/>
      <w:footnotePr>
        <w:numRestart w:val="eachSect"/>
      </w:footnotePr>
      <w:pgSz w:h="15840" w:w="12240"/>
      <w:pgMar w:bottom="1440" w:foot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cs="Calibri" w:eastAsia="Calibri" w:hAnsi="Calibri"/>
      <w:sz w:val="22"/>
    </w:rPr>
  </w:style>
  <w:style w:styleId="BodyText" w:type="paragraph">
    <w:name w:val="Body Text"/>
    <w:basedOn w:val="Normal"/>
    <w:link w:val="BodyTextChar"/>
    <w:qFormat/>
    <w:pPr>
      <w:spacing w:after="120" w:before="0" w:line="276" w:lineRule="auto"/>
    </w:pPr>
    <w:rPr>
      <w:rFonts w:ascii="Calibri" w:cs="Calibri" w:eastAsia="Calibri" w:hAnsi="Calibri"/>
      <w:sz w:val="22"/>
    </w:rPr>
  </w:style>
  <w:style w:customStyle="1" w:styleId="FirstParagraph" w:type="paragraph">
    <w:name w:val="First Paragraph"/>
    <w:basedOn w:val="BodyText"/>
    <w:next w:val="BodyText"/>
    <w:qFormat/>
    <w:pPr>
      <w:spacing w:after="120" w:before="0" w:line="276" w:lineRule="auto"/>
    </w:pPr>
    <w:rPr>
      <w:rFonts w:ascii="Calibri" w:cs="Calibri" w:eastAsia="Calibri" w:hAnsi="Calibri"/>
      <w:sz w:val="22"/>
    </w:rPr>
  </w:style>
  <w:style w:customStyle="1" w:styleId="Compact" w:type="paragraph">
    <w:name w:val="Compact"/>
    <w:basedOn w:val="BodyText"/>
    <w:qFormat/>
    <w:pPr>
      <w:spacing w:after="60" w:before="0" w:line="276"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before="0" w:line="276" w:lineRule="auto"/>
      <w:contextualSpacing/>
      <w:jc w:val="center"/>
    </w:pPr>
    <w:rPr>
      <w:rFonts w:ascii="Calibri" w:cs="Calibri" w:eastAsia="Calibri" w:hAnsi="Calibri"/>
      <w:b/>
      <w:color w:val="1F3A5F"/>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before="0" w:line="276" w:lineRule="auto"/>
    </w:pPr>
    <w:rPr>
      <w:rFonts w:ascii="Calibri" w:cs="Calibri" w:eastAsia="Calibri" w:hAnsi="Calibri"/>
      <w:b w:val="0"/>
      <w:i w:val="0"/>
      <w:color w:val="404040"/>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before="0" w:line="276" w:lineRule="auto"/>
    </w:pPr>
    <w:rPr>
      <w:rFonts w:ascii="Calibri" w:cs="Calibri" w:eastAsia="Calibri" w:hAnsi="Calibri"/>
      <w:color w:val="404040"/>
      <w:sz w:val="22"/>
      <w:szCs w:val="24"/>
    </w:rPr>
  </w:style>
  <w:style w:styleId="Date" w:type="paragraph">
    <w:name w:val="Date"/>
    <w:basedOn w:val="Title"/>
    <w:next w:val="BodyText"/>
    <w:qFormat/>
    <w:pPr>
      <w:keepNext/>
      <w:keepLines/>
      <w:spacing w:after="40" w:before="0" w:line="276" w:lineRule="auto"/>
    </w:pPr>
    <w:rPr>
      <w:rFonts w:ascii="Calibri" w:cs="Calibri" w:eastAsia="Calibri" w:hAnsi="Calibri"/>
      <w:color w:val="404040"/>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80" w:line="276" w:lineRule="auto"/>
      <w:outlineLvl w:val="0"/>
    </w:pPr>
    <w:rPr>
      <w:rFonts w:ascii="Calibri" w:cs="Calibri" w:eastAsia="Calibri" w:hAnsi="Calibri"/>
      <w:b/>
      <w:i w:val="0"/>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Calibri" w:cs="Calibri" w:eastAsia="Calibri" w:hAnsi="Calibri"/>
      <w:b/>
      <w:i w:val="0"/>
      <w:color w:val="1F3A5F"/>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76" w:lineRule="auto"/>
      <w:outlineLvl w:val="2"/>
    </w:pPr>
    <w:rPr>
      <w:rFonts w:ascii="Calibri" w:cs="Calibri" w:eastAsia="Calibri" w:hAnsi="Calibri"/>
      <w:b/>
      <w:i w:val="0"/>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160" w:line="276" w:lineRule="auto"/>
    </w:pPr>
    <w:rPr>
      <w:rFonts w:ascii="Calibri" w:cs="Calibri" w:eastAsia="Calibri" w:hAnsi="Calibri"/>
      <w:i w:val="0"/>
      <w:color w:val="404040"/>
      <w:sz w:val="22"/>
    </w:rPr>
  </w:style>
  <w:style w:customStyle="1" w:styleId="ImageCaption" w:type="paragraph">
    <w:name w:val="Image Caption"/>
    <w:basedOn w:val="Caption"/>
    <w:pPr>
      <w:spacing w:after="200" w:before="40" w:line="276" w:lineRule="auto"/>
    </w:pPr>
    <w:rPr>
      <w:rFonts w:ascii="Calibri" w:cs="Calibri" w:eastAsia="Calibri" w:hAnsi="Calibri"/>
      <w:i w:val="0"/>
      <w:color w:val="404040"/>
      <w:sz w:val="22"/>
    </w:rPr>
  </w:style>
  <w:style w:customStyle="1" w:styleId="Figure" w:type="paragraph">
    <w:name w:val="Figure"/>
    <w:basedOn w:val="Normal"/>
    <w:pPr>
      <w:keepNext/>
      <w:spacing w:after="0" w:before="120" w:line="240" w:lineRule="auto"/>
      <w:jc w:val="center"/>
    </w:pPr>
  </w:style>
  <w:style w:customStyle="1" w:styleId="CaptionedFigure" w:type="paragraph">
    <w:name w:val="Captioned Figure"/>
    <w:basedOn w:val="Figure"/>
    <w:pPr>
      <w:keepNext/>
      <w:spacing w:after="0" w:before="12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pacing w:after="160" w:before="80" w:line="276" w:lineRule="auto"/>
      <w:shd w:color="auto" w:fill="F4F5F7" w:val="clear"/>
    </w:pPr>
    <w:rPr>
      <w:rFonts w:ascii="Consolas" w:cs="Consolas" w:eastAsia="Consolas" w:hAnsi="Consolas"/>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21" Type="http://schemas.openxmlformats.org/officeDocument/2006/relationships/image" Target="media/rId21.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and Improving Concrete Compressive Strength</dc:title>
  <dc:creator>CSE 5104 Project 1</dc:creator>
  <cp:keywords/>
  <dcterms:created xsi:type="dcterms:W3CDTF">2026-10-16T19:07:27Z</dcterms:created>
  <dcterms:modified xsi:type="dcterms:W3CDTF">2026-10-16T19:07:27Z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Report for Operations and Quality Assurance leadership, regional ready-mix concrete producer</vt:lpwstr>
  </property>
</Properties>
</file>