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Technical &amp; Reproducibility Appendix</w:t>
      </w:r>
    </w:p>
    <w:p>
      <w:pPr>
        <w:pStyle w:val="Subtitle"/>
      </w:pPr>
      <w:r>
        <w:t xml:space="preserve">Gradient descent linear regression on the UCI Concrete Compressive Strength dataset</w:t>
      </w:r>
    </w:p>
    <w:p>
      <w:pPr>
        <w:pStyle w:val="Author"/>
      </w:pPr>
      <w:r>
        <w:t xml:space="preserve">CSE 5104 Project 1</w:t>
      </w:r>
    </w:p>
    <w:p>
      <w:pPr>
        <w:pStyle w:val="Date"/>
      </w:pPr>
      <w:r>
        <w:t xml:space="preserve">October 2026</w:t>
      </w:r>
    </w:p>
    <w:bookmarkStart w:id="18" w:name="Xf958cf7dd087f4a1678e8975f1477d72f11712d"/>
    <w:p>
      <w:pPr>
        <w:pStyle w:val="Heading1"/>
      </w:pPr>
      <w:r>
        <w:t xml:space="preserve">Algorithmic Design &amp; Implementation Details</w:t>
      </w:r>
    </w:p>
    <w:p>
      <w:pPr>
        <w:pStyle w:val="FirstParagraph"/>
      </w:pPr>
      <w:r>
        <w:rPr>
          <w:b/>
          <w:bCs/>
        </w:rPr>
        <w:t xml:space="preserve">Objective.</w:t>
      </w:r>
      <w:r>
        <w:t xml:space="preserve"> </w:t>
      </w:r>
      <w:r>
        <w:t xml:space="preserve">Each training example is a predictor vector</w:t>
      </w:r>
      <w:r>
        <w:t xml:space="preserve"> </w:t>
      </w:r>
      <m:oMath>
        <m:sSub>
          <m:e>
            <m:r>
              <m:rPr>
                <m:sty m:val="b"/>
              </m:rPr>
              <m:t>x</m:t>
            </m:r>
          </m:e>
          <m:sub>
            <m:r>
              <m:t>i</m:t>
            </m:r>
          </m:sub>
        </m:sSub>
        <m:r>
          <m:rPr>
            <m:sty m:val="p"/>
          </m:rPr>
          <m:t>∈</m:t>
        </m:r>
        <m:sSup>
          <m:e>
            <m:r>
              <m:rPr>
                <m:scr m:val="double-struck"/>
                <m:sty m:val="p"/>
              </m:rPr>
              <m:t>R</m:t>
            </m:r>
          </m:e>
          <m:sup>
            <m:r>
              <m:t>p</m:t>
            </m:r>
          </m:sup>
        </m:sSup>
      </m:oMath>
      <w:r>
        <w:t xml:space="preserve"> </w:t>
      </w:r>
      <w:r>
        <w:t xml:space="preserve">(</w:t>
      </w:r>
      <m:oMath>
        <m:r>
          <m:t>p</m:t>
        </m:r>
        <m:r>
          <m:rPr>
            <m:sty m:val="p"/>
          </m:rPr>
          <m:t>=</m:t>
        </m:r>
        <m:r>
          <m:t>8</m:t>
        </m:r>
      </m:oMath>
      <w:r>
        <w:t xml:space="preserve">) with measured strength</w:t>
      </w:r>
      <w:r>
        <w:t xml:space="preserve"> </w:t>
      </w:r>
      <m:oMath>
        <m:sSub>
          <m:e>
            <m:r>
              <m:t>y</m:t>
            </m:r>
          </m:e>
          <m:sub>
            <m:r>
              <m:t>i</m:t>
            </m:r>
          </m:sub>
        </m:sSub>
      </m:oMath>
      <w:r>
        <w:t xml:space="preserve">. We prepend a column of ones, giving the design matrix</w:t>
      </w:r>
      <w:r>
        <w:t xml:space="preserve"> </w:t>
      </w:r>
      <m:oMath>
        <m:r>
          <m:t>Z</m:t>
        </m:r>
        <m:r>
          <m:rPr>
            <m:sty m:val="p"/>
          </m:rPr>
          <m:t>=</m:t>
        </m:r>
        <m:r>
          <m:rPr>
            <m:sty m:val="p"/>
          </m:rPr>
          <m:t>[</m:t>
        </m:r>
        <m:r>
          <m:rPr>
            <m:sty m:val="b"/>
          </m:rPr>
          <m:t>1</m:t>
        </m:r>
        <m:r>
          <m:t> </m:t>
        </m:r>
        <m:r>
          <m:t> </m:t>
        </m:r>
        <m:r>
          <m:t>X</m:t>
        </m:r>
        <m:r>
          <m:rPr>
            <m:sty m:val="p"/>
          </m:rPr>
          <m:t>]</m:t>
        </m:r>
        <m:r>
          <m:rPr>
            <m:sty m:val="p"/>
          </m:rPr>
          <m:t>∈</m:t>
        </m:r>
        <m:sSup>
          <m:e>
            <m:r>
              <m:rPr>
                <m:scr m:val="double-struck"/>
                <m:sty m:val="p"/>
              </m:rPr>
              <m:t>R</m:t>
            </m:r>
          </m:e>
          <m:sup>
            <m:r>
              <m:t>n</m:t>
            </m:r>
            <m:r>
              <m:rPr>
                <m:sty m:val="p"/>
              </m:rPr>
              <m:t>×</m:t>
            </m:r>
            <m:r>
              <m:rPr>
                <m:sty m:val="p"/>
              </m:rPr>
              <m:t>(</m:t>
            </m:r>
            <m:r>
              <m:t>p</m:t>
            </m:r>
            <m:r>
              <m:rPr>
                <m:sty m:val="p"/>
              </m:rPr>
              <m:t>+</m:t>
            </m:r>
            <m:r>
              <m:t>1</m:t>
            </m:r>
            <m:r>
              <m:rPr>
                <m:sty m:val="p"/>
              </m:rPr>
              <m:t>)</m:t>
            </m:r>
          </m:sup>
        </m:sSup>
      </m:oMath>
      <w:r>
        <w:t xml:space="preserve">, so the intercept is simply</w:t>
      </w:r>
      <w:r>
        <w:t xml:space="preserve"> </w:t>
      </w:r>
      <m:oMath>
        <m:sSub>
          <m:e>
            <m:r>
              <m:t>θ</m:t>
            </m:r>
          </m:e>
          <m:sub>
            <m:r>
              <m:t>0</m:t>
            </m:r>
          </m:sub>
        </m:sSub>
      </m:oMath>
      <w:r>
        <w:t xml:space="preserve"> </w:t>
      </w:r>
      <w:r>
        <w:t xml:space="preserve">in</w:t>
      </w:r>
      <w:r>
        <w:t xml:space="preserve"> </w:t>
      </w:r>
      <m:oMath>
        <m:r>
          <m:rPr>
            <m:sty m:val="b"/>
          </m:rPr>
          <m:t>θ</m:t>
        </m:r>
        <m:r>
          <m:rPr>
            <m:sty m:val="p"/>
          </m:rPr>
          <m:t>=</m:t>
        </m:r>
        <m:r>
          <m:rPr>
            <m:sty m:val="p"/>
          </m:rPr>
          <m:t>(</m:t>
        </m:r>
        <m:r>
          <m:t>b</m:t>
        </m:r>
        <m:r>
          <m:rPr>
            <m:sty m:val="p"/>
          </m:rPr>
          <m:t>,</m:t>
        </m:r>
        <m:sSub>
          <m:e>
            <m:r>
              <m:t>w</m:t>
            </m:r>
          </m:e>
          <m:sub>
            <m:r>
              <m:t>1</m:t>
            </m:r>
          </m:sub>
        </m:sSub>
        <m:r>
          <m:rPr>
            <m:sty m:val="p"/>
          </m:rPr>
          <m:t>,</m:t>
        </m:r>
        <m:r>
          <m:rPr>
            <m:sty m:val="p"/>
          </m:rPr>
          <m:t>…</m:t>
        </m:r>
        <m:r>
          <m:rPr>
            <m:sty m:val="p"/>
          </m:rPr>
          <m:t>,</m:t>
        </m:r>
        <m:sSub>
          <m:e>
            <m:r>
              <m:t>w</m:t>
            </m:r>
          </m:e>
          <m:sub>
            <m:r>
              <m:t>p</m:t>
            </m:r>
          </m:sub>
        </m:sSub>
        <m:sSup>
          <m:e>
            <m:r>
              <m:rPr>
                <m:sty m:val="p"/>
              </m:rPr>
              <m:t>)</m:t>
            </m:r>
          </m:e>
          <m:sup>
            <m:r>
              <m:rPr>
                <m:sty m:val="p"/>
              </m:rPr>
              <m:t>⊤</m:t>
            </m:r>
          </m:sup>
        </m:sSup>
      </m:oMath>
      <w:r>
        <w:t xml:space="preserve">. A univariate model is the case</w:t>
      </w:r>
      <w:r>
        <w:t xml:space="preserve"> </w:t>
      </w:r>
      <m:oMath>
        <m:r>
          <m:t>p</m:t>
        </m:r>
        <m:r>
          <m:rPr>
            <m:sty m:val="p"/>
          </m:rPr>
          <m:t>=</m:t>
        </m:r>
        <m:r>
          <m:t>1</m:t>
        </m:r>
      </m:oMath>
      <w:r>
        <w:t xml:space="preserve">, with</w:t>
      </w:r>
      <w:r>
        <w:t xml:space="preserve"> </w:t>
      </w:r>
      <m:oMath>
        <m:r>
          <m:rPr>
            <m:sty m:val="b"/>
          </m:rPr>
          <m:t>θ</m:t>
        </m:r>
        <m:r>
          <m:rPr>
            <m:sty m:val="p"/>
          </m:rPr>
          <m:t>=</m:t>
        </m:r>
        <m:r>
          <m:rPr>
            <m:sty m:val="p"/>
          </m:rPr>
          <m:t>(</m:t>
        </m:r>
        <m:r>
          <m:t>b</m:t>
        </m:r>
        <m:r>
          <m:rPr>
            <m:sty m:val="p"/>
          </m:rPr>
          <m:t>,</m:t>
        </m:r>
        <m:r>
          <m:t>m</m:t>
        </m:r>
        <m:sSup>
          <m:e>
            <m:r>
              <m:rPr>
                <m:sty m:val="p"/>
              </m:rPr>
              <m:t>)</m:t>
            </m:r>
          </m:e>
          <m:sup>
            <m:r>
              <m:rPr>
                <m:sty m:val="p"/>
              </m:rPr>
              <m:t>⊤</m:t>
            </m:r>
          </m:sup>
        </m:sSup>
      </m:oMath>
      <w:r>
        <w:t xml:space="preserve">. The objective is the training mean squared error:</w:t>
      </w:r>
    </w:p>
    <w:p>
      <w:pPr>
        <w:pStyle w:val="BodyText"/>
      </w:pPr>
      <m:oMathPara>
        <m:oMathParaPr>
          <m:jc m:val="center"/>
        </m:oMathParaPr>
        <m:oMath>
          <m:r>
            <m:t>J</m:t>
          </m:r>
          <m:r>
            <m:rPr>
              <m:sty m:val="p"/>
            </m:rPr>
            <m:t>(</m:t>
          </m:r>
          <m:r>
            <m:rPr>
              <m:sty m:val="b"/>
            </m:rPr>
            <m:t>θ</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sepChr m:val=""/>
                      <m:endChr m:val=")"/>
                      <m:grow/>
                    </m:dPr>
                    <m:e>
                      <m:sSubSup>
                        <m:e>
                          <m:r>
                            <m:rPr>
                              <m:sty m:val="b"/>
                            </m:rPr>
                            <m:t>z</m:t>
                          </m:r>
                        </m:e>
                        <m:sub>
                          <m:r>
                            <m:t>i</m:t>
                          </m:r>
                        </m:sub>
                        <m:sup>
                          <m:r>
                            <m:rPr>
                              <m:sty m:val="p"/>
                            </m:rPr>
                            <m:t>⊤</m:t>
                          </m:r>
                        </m:sup>
                      </m:sSubSup>
                      <m:r>
                        <m:rPr>
                          <m:sty m:val="b"/>
                        </m:rPr>
                        <m:t>θ</m:t>
                      </m:r>
                      <m:r>
                        <m:rPr>
                          <m:sty m:val="p"/>
                        </m:rPr>
                        <m:t>−</m:t>
                      </m:r>
                      <m:sSub>
                        <m:e>
                          <m:r>
                            <m:t>y</m:t>
                          </m:r>
                        </m:e>
                        <m:sub>
                          <m:r>
                            <m:t>i</m:t>
                          </m:r>
                        </m:sub>
                      </m:sSub>
                    </m:e>
                  </m:d>
                </m:e>
                <m:sup>
                  <m:r>
                    <m:t>2</m:t>
                  </m:r>
                </m:sup>
              </m:sSup>
            </m:e>
          </m:nary>
          <m:r>
            <m:rPr>
              <m:sty m:val="p"/>
            </m:rPr>
            <m:t>=</m:t>
          </m:r>
          <m:f>
            <m:fPr>
              <m:type m:val="bar"/>
            </m:fPr>
            <m:num>
              <m:r>
                <m:t>1</m:t>
              </m:r>
            </m:num>
            <m:den>
              <m:r>
                <m:t>n</m:t>
              </m:r>
            </m:den>
          </m:f>
          <m:sSubSup>
            <m:e>
              <m:d>
                <m:dPr>
                  <m:begChr m:val="∥"/>
                  <m:sepChr m:val=""/>
                  <m:endChr m:val="∥"/>
                  <m:grow/>
                </m:dPr>
                <m:e>
                  <m:r>
                    <m:t>Z</m:t>
                  </m:r>
                  <m:r>
                    <m:rPr>
                      <m:sty m:val="b"/>
                    </m:rPr>
                    <m:t>θ</m:t>
                  </m:r>
                  <m:r>
                    <m:rPr>
                      <m:sty m:val="p"/>
                    </m:rPr>
                    <m:t>−</m:t>
                  </m:r>
                  <m:r>
                    <m:rPr>
                      <m:sty m:val="b"/>
                    </m:rPr>
                    <m:t>y</m:t>
                  </m:r>
                </m:e>
              </m:d>
            </m:e>
            <m:sub>
              <m:r>
                <m:t>2</m:t>
              </m:r>
            </m:sub>
            <m:sup>
              <m:r>
                <m:t>2</m:t>
              </m:r>
            </m:sup>
          </m:sSubSup>
          <m:r>
            <m:rPr>
              <m:sty m:val="p"/>
            </m:rPr>
            <m:t>.</m:t>
          </m:r>
        </m:oMath>
      </m:oMathPara>
    </w:p>
    <w:p>
      <w:pPr>
        <w:pStyle w:val="FirstParagraph"/>
      </w:pPr>
      <w:r>
        <w:rPr>
          <w:b/>
          <w:bCs/>
        </w:rPr>
        <w:t xml:space="preserve">Gradient.</w:t>
      </w:r>
      <w:r>
        <w:t xml:space="preserve"> </w:t>
      </w:r>
      <w:r>
        <w:t xml:space="preserve">Differentiating the squared residuals term by term gives</w:t>
      </w:r>
    </w:p>
    <w:p>
      <w:pPr>
        <w:pStyle w:val="BodyText"/>
      </w:pPr>
      <m:oMathPara>
        <m:oMathParaPr>
          <m:jc m:val="center"/>
        </m:oMathParaPr>
        <m:oMath>
          <m:f>
            <m:fPr>
              <m:type m:val="bar"/>
            </m:fPr>
            <m:num>
              <m:r>
                <m:rPr>
                  <m:sty m:val="p"/>
                </m:rPr>
                <m:t>∂</m:t>
              </m:r>
              <m:r>
                <m:t>J</m:t>
              </m:r>
            </m:num>
            <m:den>
              <m:r>
                <m:rPr>
                  <m:sty m:val="p"/>
                </m:rPr>
                <m:t>∂</m:t>
              </m:r>
              <m:sSub>
                <m:e>
                  <m:r>
                    <m:t>θ</m:t>
                  </m:r>
                </m:e>
                <m:sub>
                  <m:r>
                    <m:t>j</m:t>
                  </m:r>
                </m:sub>
              </m:sSub>
            </m:den>
          </m:f>
          <m:r>
            <m:rPr>
              <m:sty m:val="p"/>
            </m:rPr>
            <m:t>=</m:t>
          </m:r>
          <m:f>
            <m:fPr>
              <m:type m:val="bar"/>
            </m:fPr>
            <m:num>
              <m:r>
                <m:t>2</m:t>
              </m:r>
            </m:num>
            <m:den>
              <m:r>
                <m:t>n</m:t>
              </m:r>
            </m:den>
          </m:f>
          <m:nary>
            <m:naryPr>
              <m:chr m:val="∑"/>
              <m:limLoc m:val="undOvr"/>
              <m:subHide m:val="off"/>
              <m:supHide m:val="off"/>
            </m:naryPr>
            <m:sub>
              <m:r>
                <m:t>i</m:t>
              </m:r>
              <m:r>
                <m:rPr>
                  <m:sty m:val="p"/>
                </m:rPr>
                <m:t>=</m:t>
              </m:r>
              <m:r>
                <m:t>1</m:t>
              </m:r>
            </m:sub>
            <m:sup>
              <m:r>
                <m:t>n</m:t>
              </m:r>
            </m:sup>
            <m:e>
              <m:d>
                <m:dPr>
                  <m:begChr m:val="("/>
                  <m:sepChr m:val=""/>
                  <m:endChr m:val=")"/>
                  <m:grow/>
                </m:dPr>
                <m:e>
                  <m:sSubSup>
                    <m:e>
                      <m:r>
                        <m:rPr>
                          <m:sty m:val="b"/>
                        </m:rPr>
                        <m:t>z</m:t>
                      </m:r>
                    </m:e>
                    <m:sub>
                      <m:r>
                        <m:t>i</m:t>
                      </m:r>
                    </m:sub>
                    <m:sup>
                      <m:r>
                        <m:rPr>
                          <m:sty m:val="p"/>
                        </m:rPr>
                        <m:t>⊤</m:t>
                      </m:r>
                    </m:sup>
                  </m:sSubSup>
                  <m:r>
                    <m:rPr>
                      <m:sty m:val="b"/>
                    </m:rPr>
                    <m:t>θ</m:t>
                  </m:r>
                  <m:r>
                    <m:rPr>
                      <m:sty m:val="p"/>
                    </m:rPr>
                    <m:t>−</m:t>
                  </m:r>
                  <m:sSub>
                    <m:e>
                      <m:r>
                        <m:t>y</m:t>
                      </m:r>
                    </m:e>
                    <m:sub>
                      <m:r>
                        <m:t>i</m:t>
                      </m:r>
                    </m:sub>
                  </m:sSub>
                </m:e>
              </m:d>
            </m:e>
          </m:nary>
          <m:sSub>
            <m:e>
              <m:r>
                <m:t>z</m:t>
              </m:r>
            </m:e>
            <m:sub>
              <m:r>
                <m:t>i</m:t>
              </m:r>
              <m:r>
                <m:t>j</m:t>
              </m:r>
            </m:sub>
          </m:sSub>
          <m:r>
            <m:t> </m:t>
          </m:r>
          <m:r>
            <m:rPr>
              <m:sty m:val="p"/>
            </m:rPr>
            <m:t>⇒</m:t>
          </m:r>
          <m:r>
            <m:t> </m:t>
          </m:r>
          <m:r>
            <m:rPr>
              <m:sty m:val="p"/>
            </m:rPr>
            <m:t>∇</m:t>
          </m:r>
          <m:r>
            <m:t>J</m:t>
          </m:r>
          <m:r>
            <m:rPr>
              <m:sty m:val="p"/>
            </m:rPr>
            <m:t>(</m:t>
          </m:r>
          <m:r>
            <m:rPr>
              <m:sty m:val="b"/>
            </m:rPr>
            <m:t>θ</m:t>
          </m:r>
          <m:r>
            <m:rPr>
              <m:sty m:val="p"/>
            </m:rPr>
            <m:t>)</m:t>
          </m:r>
          <m:r>
            <m:rPr>
              <m:sty m:val="p"/>
            </m:rPr>
            <m:t>=</m:t>
          </m:r>
          <m:f>
            <m:fPr>
              <m:type m:val="bar"/>
            </m:fPr>
            <m:num>
              <m:r>
                <m:t>2</m:t>
              </m:r>
            </m:num>
            <m:den>
              <m:r>
                <m:t>n</m:t>
              </m:r>
            </m:den>
          </m:f>
          <m:r>
            <m:t> </m:t>
          </m:r>
          <m:sSup>
            <m:e>
              <m:r>
                <m:t>Z</m:t>
              </m:r>
            </m:e>
            <m:sup>
              <m:r>
                <m:rPr>
                  <m:sty m:val="p"/>
                </m:rPr>
                <m:t>⊤</m:t>
              </m:r>
            </m:sup>
          </m:sSup>
          <m:r>
            <m:t>​</m:t>
          </m:r>
          <m:d>
            <m:dPr>
              <m:begChr m:val="("/>
              <m:sepChr m:val=""/>
              <m:endChr m:val=")"/>
              <m:grow/>
            </m:dPr>
            <m:e>
              <m:r>
                <m:t>Z</m:t>
              </m:r>
              <m:r>
                <m:rPr>
                  <m:sty m:val="b"/>
                </m:rPr>
                <m:t>θ</m:t>
              </m:r>
              <m:r>
                <m:rPr>
                  <m:sty m:val="p"/>
                </m:rPr>
                <m:t>−</m:t>
              </m:r>
              <m:r>
                <m:rPr>
                  <m:sty m:val="b"/>
                </m:rPr>
                <m:t>y</m:t>
              </m:r>
            </m:e>
          </m:d>
          <m:r>
            <m:rPr>
              <m:sty m:val="p"/>
            </m:rPr>
            <m:t>.</m:t>
          </m:r>
        </m:oMath>
      </m:oMathPara>
    </w:p>
    <w:p>
      <w:pPr>
        <w:pStyle w:val="FirstParagraph"/>
      </w:pPr>
      <w:r>
        <w:t xml:space="preserve">In the univariate case the two components are</w:t>
      </w:r>
      <w:r>
        <w:t xml:space="preserve"> </w:t>
      </w:r>
      <m:oMath>
        <m:r>
          <m:rPr>
            <m:sty m:val="p"/>
          </m:rPr>
          <m:t>∂</m:t>
        </m:r>
        <m:r>
          <m:t>J</m:t>
        </m:r>
        <m:r>
          <m:rPr>
            <m:sty m:val="p"/>
          </m:rPr>
          <m:t>/</m:t>
        </m:r>
        <m:r>
          <m:rPr>
            <m:sty m:val="p"/>
          </m:rPr>
          <m:t>∂</m:t>
        </m:r>
        <m:r>
          <m:t>b</m:t>
        </m:r>
        <m:r>
          <m:rPr>
            <m:sty m:val="p"/>
          </m:rPr>
          <m:t>=</m:t>
        </m:r>
        <m:f>
          <m:fPr>
            <m:type m:val="bar"/>
          </m:fPr>
          <m:num>
            <m:r>
              <m:t>2</m:t>
            </m:r>
          </m:num>
          <m:den>
            <m:r>
              <m:t>n</m:t>
            </m:r>
          </m:den>
        </m:f>
        <m:nary>
          <m:naryPr>
            <m:chr m:val="∑"/>
            <m:limLoc m:val="undOvr"/>
            <m:subHide m:val="off"/>
            <m:supHide m:val="on"/>
          </m:naryPr>
          <m:sub>
            <m:r>
              <m:t>i</m:t>
            </m:r>
          </m:sub>
          <m:sup>
            <m:r>
              <m:t>​</m:t>
            </m:r>
          </m:sup>
          <m:e>
            <m:r>
              <m:rPr>
                <m:sty m:val="p"/>
              </m:rPr>
              <m:t>(</m:t>
            </m:r>
          </m:e>
        </m:nary>
        <m:r>
          <m:t>m</m:t>
        </m:r>
        <m:sSub>
          <m:e>
            <m:r>
              <m:t>x</m:t>
            </m:r>
          </m:e>
          <m:sub>
            <m:r>
              <m:t>i</m:t>
            </m:r>
          </m:sub>
        </m:sSub>
        <m:r>
          <m:rPr>
            <m:sty m:val="p"/>
          </m:rPr>
          <m:t>+</m:t>
        </m:r>
        <m:r>
          <m:t>b</m:t>
        </m:r>
        <m:r>
          <m:rPr>
            <m:sty m:val="p"/>
          </m:rPr>
          <m:t>−</m:t>
        </m:r>
        <m:sSub>
          <m:e>
            <m:r>
              <m:t>y</m:t>
            </m:r>
          </m:e>
          <m:sub>
            <m:r>
              <m:t>i</m:t>
            </m:r>
          </m:sub>
        </m:sSub>
        <m:r>
          <m:rPr>
            <m:sty m:val="p"/>
          </m:rPr>
          <m:t>)</m:t>
        </m:r>
      </m:oMath>
      <w:r>
        <w:t xml:space="preserve"> </w:t>
      </w:r>
      <w:r>
        <w:t xml:space="preserve">and</w:t>
      </w:r>
      <w:r>
        <w:t xml:space="preserve"> </w:t>
      </w:r>
      <m:oMath>
        <m:r>
          <m:rPr>
            <m:sty m:val="p"/>
          </m:rPr>
          <m:t>∂</m:t>
        </m:r>
        <m:r>
          <m:t>J</m:t>
        </m:r>
        <m:r>
          <m:rPr>
            <m:sty m:val="p"/>
          </m:rPr>
          <m:t>/</m:t>
        </m:r>
        <m:r>
          <m:rPr>
            <m:sty m:val="p"/>
          </m:rPr>
          <m:t>∂</m:t>
        </m:r>
        <m:r>
          <m:t>m</m:t>
        </m:r>
        <m:r>
          <m:rPr>
            <m:sty m:val="p"/>
          </m:rPr>
          <m:t>=</m:t>
        </m:r>
        <m:f>
          <m:fPr>
            <m:type m:val="bar"/>
          </m:fPr>
          <m:num>
            <m:r>
              <m:t>2</m:t>
            </m:r>
          </m:num>
          <m:den>
            <m:r>
              <m:t>n</m:t>
            </m:r>
          </m:den>
        </m:f>
        <m:nary>
          <m:naryPr>
            <m:chr m:val="∑"/>
            <m:limLoc m:val="undOvr"/>
            <m:subHide m:val="off"/>
            <m:supHide m:val="on"/>
          </m:naryPr>
          <m:sub>
            <m:r>
              <m:t>i</m:t>
            </m:r>
          </m:sub>
          <m:sup>
            <m:r>
              <m:t>​</m:t>
            </m:r>
          </m:sup>
          <m:e>
            <m:r>
              <m:rPr>
                <m:sty m:val="p"/>
              </m:rPr>
              <m:t>(</m:t>
            </m:r>
          </m:e>
        </m:nary>
        <m:r>
          <m:t>m</m:t>
        </m:r>
        <m:sSub>
          <m:e>
            <m:r>
              <m:t>x</m:t>
            </m:r>
          </m:e>
          <m:sub>
            <m:r>
              <m:t>i</m:t>
            </m:r>
          </m:sub>
        </m:sSub>
        <m:r>
          <m:rPr>
            <m:sty m:val="p"/>
          </m:rPr>
          <m:t>+</m:t>
        </m:r>
        <m:r>
          <m:t>b</m:t>
        </m:r>
        <m:r>
          <m:rPr>
            <m:sty m:val="p"/>
          </m:rPr>
          <m:t>−</m:t>
        </m:r>
        <m:sSub>
          <m:e>
            <m:r>
              <m:t>y</m:t>
            </m:r>
          </m:e>
          <m:sub>
            <m:r>
              <m:t>i</m:t>
            </m:r>
          </m:sub>
        </m:sSub>
        <m:r>
          <m:rPr>
            <m:sty m:val="p"/>
          </m:rPr>
          <m:t>)</m:t>
        </m:r>
        <m:r>
          <m:t> </m:t>
        </m:r>
        <m:sSub>
          <m:e>
            <m:r>
              <m:t>x</m:t>
            </m:r>
          </m:e>
          <m:sub>
            <m:r>
              <m:t>i</m:t>
            </m:r>
          </m:sub>
        </m:sSub>
      </m:oMath>
      <w:r>
        <w:t xml:space="preserve">. Parameters start at zero and follow the update rule</w:t>
      </w:r>
    </w:p>
    <w:p>
      <w:pPr>
        <w:pStyle w:val="BodyText"/>
      </w:pPr>
      <m:oMathPara>
        <m:oMathParaPr>
          <m:jc m:val="center"/>
        </m:oMathParaPr>
        <m:oMath>
          <m:sSup>
            <m:e>
              <m:r>
                <m:rPr>
                  <m:sty m:val="b"/>
                </m:rPr>
                <m:t>θ</m:t>
              </m:r>
            </m:e>
            <m:sup>
              <m:r>
                <m:rPr>
                  <m:sty m:val="p"/>
                </m:rPr>
                <m:t>(</m:t>
              </m:r>
              <m:r>
                <m:t>t</m:t>
              </m:r>
              <m:r>
                <m:rPr>
                  <m:sty m:val="p"/>
                </m:rPr>
                <m:t>+</m:t>
              </m:r>
              <m:r>
                <m:t>1</m:t>
              </m:r>
              <m:r>
                <m:rPr>
                  <m:sty m:val="p"/>
                </m:rPr>
                <m:t>)</m:t>
              </m:r>
            </m:sup>
          </m:sSup>
          <m:r>
            <m:rPr>
              <m:sty m:val="p"/>
            </m:rPr>
            <m:t>=</m:t>
          </m:r>
          <m:sSup>
            <m:e>
              <m:r>
                <m:rPr>
                  <m:sty m:val="b"/>
                </m:rPr>
                <m:t>θ</m:t>
              </m:r>
            </m:e>
            <m:sup>
              <m:r>
                <m:rPr>
                  <m:sty m:val="p"/>
                </m:rPr>
                <m:t>(</m:t>
              </m:r>
              <m:r>
                <m:t>t</m:t>
              </m:r>
              <m:r>
                <m:rPr>
                  <m:sty m:val="p"/>
                </m:rPr>
                <m:t>)</m:t>
              </m:r>
            </m:sup>
          </m:sSup>
          <m:r>
            <m:rPr>
              <m:sty m:val="p"/>
            </m:rPr>
            <m:t>−</m:t>
          </m:r>
          <m:r>
            <m:t>α</m:t>
          </m:r>
          <m:r>
            <m:t> </m:t>
          </m:r>
          <m:r>
            <m:rPr>
              <m:sty m:val="p"/>
            </m:rPr>
            <m:t>∇</m:t>
          </m:r>
          <m:r>
            <m:t>J</m:t>
          </m:r>
          <m:r>
            <m:t>​</m:t>
          </m:r>
          <m:d>
            <m:dPr>
              <m:begChr m:val="("/>
              <m:sepChr m:val=""/>
              <m:endChr m:val=")"/>
              <m:grow/>
            </m:dPr>
            <m:e>
              <m:sSup>
                <m:e>
                  <m:r>
                    <m:rPr>
                      <m:sty m:val="b"/>
                    </m:rPr>
                    <m:t>θ</m:t>
                  </m:r>
                </m:e>
                <m:sup>
                  <m:r>
                    <m:rPr>
                      <m:sty m:val="p"/>
                    </m:rPr>
                    <m:t>(</m:t>
                  </m:r>
                  <m:r>
                    <m:t>t</m:t>
                  </m:r>
                  <m:r>
                    <m:rPr>
                      <m:sty m:val="p"/>
                    </m:rPr>
                    <m:t>)</m:t>
                  </m:r>
                </m:sup>
              </m:sSup>
            </m:e>
          </m:d>
          <m:r>
            <m:rPr>
              <m:sty m:val="p"/>
            </m:rPr>
            <m:t>,</m:t>
          </m:r>
          <m:r>
            <m:t>  </m:t>
          </m:r>
          <m:sSup>
            <m:e>
              <m:r>
                <m:rPr>
                  <m:sty m:val="b"/>
                </m:rPr>
                <m:t>θ</m:t>
              </m:r>
            </m:e>
            <m:sup>
              <m:r>
                <m:rPr>
                  <m:sty m:val="p"/>
                </m:rPr>
                <m:t>(</m:t>
              </m:r>
              <m:r>
                <m:t>0</m:t>
              </m:r>
              <m:r>
                <m:rPr>
                  <m:sty m:val="p"/>
                </m:rPr>
                <m:t>)</m:t>
              </m:r>
            </m:sup>
          </m:sSup>
          <m:r>
            <m:rPr>
              <m:sty m:val="p"/>
            </m:rPr>
            <m:t>=</m:t>
          </m:r>
          <m:r>
            <m:rPr>
              <m:sty m:val="b"/>
            </m:rPr>
            <m:t>0</m:t>
          </m:r>
          <m:r>
            <m:rPr>
              <m:sty m:val="p"/>
            </m:rPr>
            <m:t>.</m:t>
          </m:r>
        </m:oMath>
      </m:oMathPara>
    </w:p>
    <w:p>
      <w:pPr>
        <w:pStyle w:val="FirstParagraph"/>
      </w:pPr>
      <w:r>
        <w:rPr>
          <w:b/>
          <w:bCs/>
        </w:rPr>
        <w:t xml:space="preserve">Why the step size is bounded.</w:t>
      </w:r>
      <w:r>
        <w:t xml:space="preserve"> </w:t>
      </w:r>
      <m:oMath>
        <m:r>
          <m:t>J</m:t>
        </m:r>
      </m:oMath>
      <w:r>
        <w:t xml:space="preserve"> </w:t>
      </w:r>
      <w:r>
        <w:t xml:space="preserve">is quadratic with constant Hessian</w:t>
      </w:r>
      <w:r>
        <w:t xml:space="preserve"> </w:t>
      </w:r>
      <m:oMath>
        <m:r>
          <m:t>H</m:t>
        </m:r>
        <m:r>
          <m:rPr>
            <m:sty m:val="p"/>
          </m:rPr>
          <m:t>=</m:t>
        </m:r>
        <m:f>
          <m:fPr>
            <m:type m:val="bar"/>
          </m:fPr>
          <m:num>
            <m:r>
              <m:t>2</m:t>
            </m:r>
          </m:num>
          <m:den>
            <m:r>
              <m:t>n</m:t>
            </m:r>
          </m:den>
        </m:f>
        <m:sSup>
          <m:e>
            <m:r>
              <m:t>Z</m:t>
            </m:r>
          </m:e>
          <m:sup>
            <m:r>
              <m:rPr>
                <m:sty m:val="p"/>
              </m:rPr>
              <m:t>⊤</m:t>
            </m:r>
          </m:sup>
        </m:sSup>
        <m:r>
          <m:t>Z</m:t>
        </m:r>
      </m:oMath>
      <w:r>
        <w:t xml:space="preserve">, so the error evolves exactly as</w:t>
      </w:r>
      <w:r>
        <w:t xml:space="preserve"> </w:t>
      </w:r>
      <m:oMath>
        <m:sSup>
          <m:e>
            <m:r>
              <m:rPr>
                <m:sty m:val="b"/>
              </m:rPr>
              <m:t>θ</m:t>
            </m:r>
          </m:e>
          <m:sup>
            <m:r>
              <m:rPr>
                <m:sty m:val="p"/>
              </m:rPr>
              <m:t>(</m:t>
            </m:r>
            <m:r>
              <m:t>t</m:t>
            </m:r>
            <m:r>
              <m:rPr>
                <m:sty m:val="p"/>
              </m:rPr>
              <m:t>)</m:t>
            </m:r>
          </m:sup>
        </m:sSup>
        <m:r>
          <m:rPr>
            <m:sty m:val="p"/>
          </m:rPr>
          <m:t>−</m:t>
        </m:r>
        <m:sSup>
          <m:e>
            <m:r>
              <m:rPr>
                <m:sty m:val="b"/>
              </m:rPr>
              <m:t>θ</m:t>
            </m:r>
          </m:e>
          <m:sup>
            <m:r>
              <m:rPr>
                <m:sty m:val="p"/>
              </m:rPr>
              <m:t>⋆</m:t>
            </m:r>
          </m:sup>
        </m:sSup>
        <m:r>
          <m:rPr>
            <m:sty m:val="p"/>
          </m:rPr>
          <m:t>=</m:t>
        </m:r>
        <m:r>
          <m:rPr>
            <m:sty m:val="p"/>
          </m:rPr>
          <m:t>(</m:t>
        </m:r>
        <m:r>
          <m:t>I</m:t>
        </m:r>
        <m:r>
          <m:rPr>
            <m:sty m:val="p"/>
          </m:rPr>
          <m:t>−</m:t>
        </m:r>
        <m:r>
          <m:t>α</m:t>
        </m:r>
        <m:r>
          <m:t>H</m:t>
        </m:r>
        <m:sSup>
          <m:e>
            <m:r>
              <m:rPr>
                <m:sty m:val="p"/>
              </m:rPr>
              <m:t>)</m:t>
            </m:r>
          </m:e>
          <m:sup>
            <m:r>
              <m:t>t</m:t>
            </m:r>
          </m:sup>
        </m:sSup>
        <m:r>
          <m:rPr>
            <m:sty m:val="p"/>
          </m:rPr>
          <m:t>(</m:t>
        </m:r>
        <m:sSup>
          <m:e>
            <m:r>
              <m:rPr>
                <m:sty m:val="b"/>
              </m:rPr>
              <m:t>θ</m:t>
            </m:r>
          </m:e>
          <m:sup>
            <m:r>
              <m:rPr>
                <m:sty m:val="p"/>
              </m:rPr>
              <m:t>(</m:t>
            </m:r>
            <m:r>
              <m:t>0</m:t>
            </m:r>
            <m:r>
              <m:rPr>
                <m:sty m:val="p"/>
              </m:rPr>
              <m:t>)</m:t>
            </m:r>
          </m:sup>
        </m:sSup>
        <m:r>
          <m:rPr>
            <m:sty m:val="p"/>
          </m:rPr>
          <m:t>−</m:t>
        </m:r>
        <m:sSup>
          <m:e>
            <m:r>
              <m:rPr>
                <m:sty m:val="b"/>
              </m:rPr>
              <m:t>θ</m:t>
            </m:r>
          </m:e>
          <m:sup>
            <m:r>
              <m:rPr>
                <m:sty m:val="p"/>
              </m:rPr>
              <m:t>⋆</m:t>
            </m:r>
          </m:sup>
        </m:sSup>
        <m:r>
          <m:rPr>
            <m:sty m:val="p"/>
          </m:rPr>
          <m:t>)</m:t>
        </m:r>
      </m:oMath>
      <w:r>
        <w:t xml:space="preserve">. Gradient descent therefore converges if and only if</w:t>
      </w:r>
      <w:r>
        <w:t xml:space="preserve"> </w:t>
      </w:r>
      <m:oMath>
        <m:r>
          <m:t>0</m:t>
        </m:r>
        <m:r>
          <m:rPr>
            <m:sty m:val="p"/>
          </m:rPr>
          <m:t>&lt;</m:t>
        </m:r>
        <m:r>
          <m:t>α</m:t>
        </m:r>
        <m:r>
          <m:rPr>
            <m:sty m:val="p"/>
          </m:rPr>
          <m:t>&lt;</m:t>
        </m:r>
        <m:r>
          <m:t>2</m:t>
        </m:r>
        <m:r>
          <m:rPr>
            <m:sty m:val="p"/>
          </m:rPr>
          <m:t>/</m:t>
        </m:r>
        <m:sSub>
          <m:e>
            <m:r>
              <m:t>λ</m:t>
            </m:r>
          </m:e>
          <m:sub>
            <m:r>
              <m:rPr>
                <m:sty m:val="p"/>
              </m:rPr>
              <m:t>max</m:t>
            </m:r>
          </m:sub>
        </m:sSub>
        <m:r>
          <m:rPr>
            <m:sty m:val="p"/>
          </m:rPr>
          <m:t>(</m:t>
        </m:r>
        <m:r>
          <m:t>H</m:t>
        </m:r>
        <m:r>
          <m:rPr>
            <m:sty m:val="p"/>
          </m:rPr>
          <m:t>)</m:t>
        </m:r>
      </m:oMath>
      <w:r>
        <w:t xml:space="preserve">. The slowest eigendirection shrinks by a factor</w:t>
      </w:r>
      <w:r>
        <w:t xml:space="preserve"> </w:t>
      </w:r>
      <m:oMath>
        <m:r>
          <m:rPr>
            <m:sty m:val="p"/>
          </m:rPr>
          <m:t>|</m:t>
        </m:r>
        <m:r>
          <m:t>1</m:t>
        </m:r>
        <m:r>
          <m:rPr>
            <m:sty m:val="p"/>
          </m:rPr>
          <m:t>−</m:t>
        </m:r>
        <m:r>
          <m:t>α</m:t>
        </m:r>
        <m:sSub>
          <m:e>
            <m:r>
              <m:t>λ</m:t>
            </m:r>
          </m:e>
          <m:sub>
            <m:r>
              <m:rPr>
                <m:sty m:val="p"/>
              </m:rPr>
              <m:t>min</m:t>
            </m:r>
          </m:sub>
        </m:sSub>
        <m:r>
          <m:rPr>
            <m:sty m:val="p"/>
          </m:rPr>
          <m:t>|</m:t>
        </m:r>
      </m:oMath>
      <w:r>
        <w:t xml:space="preserve"> </w:t>
      </w:r>
      <w:r>
        <w:t xml:space="preserve">per iteration, which is about</w:t>
      </w:r>
      <w:r>
        <w:t xml:space="preserve"> </w:t>
      </w:r>
      <m:oMath>
        <m:r>
          <m:t>1</m:t>
        </m:r>
        <m:r>
          <m:rPr>
            <m:sty m:val="p"/>
          </m:rPr>
          <m:t>−</m:t>
        </m:r>
        <m:r>
          <m:t>2</m:t>
        </m:r>
        <m:r>
          <m:rPr>
            <m:sty m:val="p"/>
          </m:rPr>
          <m:t>/</m:t>
        </m:r>
        <m:r>
          <m:t>κ</m:t>
        </m:r>
      </m:oMath>
      <w:r>
        <w:t xml:space="preserve"> </w:t>
      </w:r>
      <w:r>
        <w:t xml:space="preserve">at the largest stable step, where</w:t>
      </w:r>
      <w:r>
        <w:t xml:space="preserve"> </w:t>
      </w:r>
      <m:oMath>
        <m:r>
          <m:t>κ</m:t>
        </m:r>
        <m:r>
          <m:rPr>
            <m:sty m:val="p"/>
          </m:rPr>
          <m:t>=</m:t>
        </m:r>
        <m:sSub>
          <m:e>
            <m:r>
              <m:t>λ</m:t>
            </m:r>
          </m:e>
          <m:sub>
            <m:r>
              <m:rPr>
                <m:sty m:val="p"/>
              </m:rPr>
              <m:t>max</m:t>
            </m:r>
          </m:sub>
        </m:sSub>
        <m:r>
          <m:rPr>
            <m:sty m:val="p"/>
          </m:rPr>
          <m:t>/</m:t>
        </m:r>
        <m:sSub>
          <m:e>
            <m:r>
              <m:t>λ</m:t>
            </m:r>
          </m:e>
          <m:sub>
            <m:r>
              <m:rPr>
                <m:sty m:val="p"/>
              </m:rPr>
              <m:t>min</m:t>
            </m:r>
          </m:sub>
        </m:sSub>
      </m:oMath>
      <w:r>
        <w:t xml:space="preserve"> </w:t>
      </w:r>
      <w:r>
        <w:t xml:space="preserve">is the condition number. This bound guides every hyperparameter choice below.</w:t>
      </w:r>
    </w:p>
    <w:p>
      <w:pPr>
        <w:pStyle w:val="SourceCode"/>
      </w:pPr>
      <w:r>
        <w:rPr>
          <w:rStyle w:val="VerbatimChar"/>
        </w:rPr>
        <w:t xml:space="preserve">GRADIENT-DESCENT(X, y, α, T, ε)</w:t>
      </w:r>
      <w:r>
        <w:br/>
      </w:r>
      <w:r>
        <w:rPr>
          <w:rStyle w:val="VerbatimChar"/>
        </w:rPr>
        <w:t xml:space="preserve">    Z ← [1 | X]              // n × (p+1); column 1 is the intercept</w:t>
      </w:r>
      <w:r>
        <w:br/>
      </w:r>
      <w:r>
        <w:rPr>
          <w:rStyle w:val="VerbatimChar"/>
        </w:rPr>
        <w:t xml:space="preserve">    θ ← 0                    // length p+1</w:t>
      </w:r>
      <w:r>
        <w:br/>
      </w:r>
      <w:r>
        <w:rPr>
          <w:rStyle w:val="VerbatimChar"/>
        </w:rPr>
        <w:t xml:space="preserve">    for t ← 0 … T−1:</w:t>
      </w:r>
      <w:r>
        <w:br/>
      </w:r>
      <w:r>
        <w:rPr>
          <w:rStyle w:val="VerbatimChar"/>
        </w:rPr>
        <w:t xml:space="preserve">        r ← Zθ − y           // residuals</w:t>
      </w:r>
      <w:r>
        <w:br/>
      </w:r>
      <w:r>
        <w:rPr>
          <w:rStyle w:val="VerbatimChar"/>
        </w:rPr>
        <w:t xml:space="preserve">        J[t] ← (1/n) rᵀr     // record training MSE</w:t>
      </w:r>
      <w:r>
        <w:br/>
      </w:r>
      <w:r>
        <w:rPr>
          <w:rStyle w:val="VerbatimChar"/>
        </w:rPr>
        <w:t xml:space="preserve">        g ← (2/n) Zᵀr        // gradient ∇J(θ)</w:t>
      </w:r>
      <w:r>
        <w:br/>
      </w:r>
      <w:r>
        <w:rPr>
          <w:rStyle w:val="VerbatimChar"/>
        </w:rPr>
        <w:t xml:space="preserve">        θ ← θ − α g          // parameter update</w:t>
      </w:r>
      <w:r>
        <w:br/>
      </w:r>
      <w:r>
        <w:rPr>
          <w:rStyle w:val="VerbatimChar"/>
        </w:rPr>
        <w:t xml:space="preserve">        if t &gt; 0 and |J[t−1] − J[t]| &lt; ε:  break</w:t>
      </w:r>
      <w:r>
        <w:br/>
      </w:r>
      <w:r>
        <w:rPr>
          <w:rStyle w:val="VerbatimChar"/>
        </w:rPr>
        <w:t xml:space="preserve">    return θ, J</w:t>
      </w:r>
    </w:p>
    <w:p>
      <w:pPr>
        <w:pStyle w:val="FirstParagraph"/>
      </w:pPr>
      <w:r>
        <w:rPr>
          <w:b/>
          <w:bCs/>
        </w:rPr>
        <w:t xml:space="preserve">Implementation notes.</w:t>
      </w:r>
      <w:r>
        <w:t xml:space="preserve"> </w:t>
      </w:r>
      <w:r>
        <w:t xml:space="preserve">This is full-batch gradient descent: every update uses all 900 training rows, so each iteration costs two matrix–vector products,</w:t>
      </w:r>
      <w:r>
        <w:t xml:space="preserve"> </w:t>
      </w:r>
      <m:oMath>
        <m:r>
          <m:t>O</m:t>
        </m:r>
        <m:r>
          <m:rPr>
            <m:sty m:val="p"/>
          </m:rPr>
          <m:t>(</m:t>
        </m:r>
        <m:r>
          <m:t>n</m:t>
        </m:r>
        <m:r>
          <m:t>p</m:t>
        </m:r>
        <m:r>
          <m:rPr>
            <m:sty m:val="p"/>
          </m:rPr>
          <m:t>)</m:t>
        </m:r>
      </m:oMath>
      <w:r>
        <w:t xml:space="preserve">. Because nothing is sampled, runs are deterministic. The loss is recorded before each update, so the first entry is the loss at</w:t>
      </w:r>
      <w:r>
        <w:t xml:space="preserve"> </w:t>
      </w:r>
      <m:oMath>
        <m:r>
          <m:rPr>
            <m:sty m:val="b"/>
          </m:rPr>
          <m:t>θ</m:t>
        </m:r>
        <m:r>
          <m:rPr>
            <m:sty m:val="p"/>
          </m:rPr>
          <m:t>=</m:t>
        </m:r>
        <m:r>
          <m:rPr>
            <m:sty m:val="b"/>
          </m:rPr>
          <m:t>0</m:t>
        </m:r>
      </m:oMath>
      <w:r>
        <w:t xml:space="preserve">: an MSE of 1,640.6, which is</w:t>
      </w:r>
      <w:r>
        <w:t xml:space="preserve"> </w:t>
      </w:r>
      <m:oMath>
        <m:sSup>
          <m:e>
            <m:r>
              <m:t>R</m:t>
            </m:r>
          </m:e>
          <m:sup>
            <m:r>
              <m:t>2</m:t>
            </m:r>
          </m:sup>
        </m:sSup>
        <m:r>
          <m:rPr>
            <m:sty m:val="p"/>
          </m:rPr>
          <m:t>=</m:t>
        </m:r>
        <m:r>
          <m:rPr>
            <m:sty m:val="p"/>
          </m:rPr>
          <m:t>−</m:t>
        </m:r>
        <m:r>
          <m:t>4.92</m:t>
        </m:r>
      </m:oMath>
      <w:r>
        <w:t xml:space="preserve"> </w:t>
      </w:r>
      <w:r>
        <w:t xml:space="preserve">on the training set. The repository contains two copies of the algorithm. One is a reusable function in</w:t>
      </w:r>
      <w:r>
        <w:t xml:space="preserve"> </w:t>
      </w:r>
      <w:r>
        <w:rPr>
          <w:rStyle w:val="VerbatimChar"/>
        </w:rPr>
        <w:t xml:space="preserve">utils/grad_descent.py</w:t>
      </w:r>
      <w:r>
        <w:t xml:space="preserve">, wrapped by</w:t>
      </w:r>
      <w:r>
        <w:t xml:space="preserve"> </w:t>
      </w:r>
      <w:r>
        <w:rPr>
          <w:rStyle w:val="VerbatimChar"/>
        </w:rPr>
        <w:t xml:space="preserve">models/linear.py</w:t>
      </w:r>
      <w:r>
        <w:t xml:space="preserve"> </w:t>
      </w:r>
      <w:r>
        <w:t xml:space="preserve">for univariate and multivariate models. The other is inlined in the self-contained scripts so they can run outside the repository. Both implement exactly the pseudocode above.</w:t>
      </w:r>
    </w:p>
    <w:p>
      <w:pPr>
        <w:pStyle w:val="BodyText"/>
      </w:pPr>
      <w:r>
        <w:rPr>
          <w:b/>
          <w:bCs/>
        </w:rPr>
        <w:t xml:space="preserve">Hyperparameters.</w:t>
      </w:r>
      <w:r>
        <w:t xml:space="preserve"> </w:t>
      </w:r>
      <w:r>
        <w:t xml:space="preserve">Table 1 lists the settings. For each feature set we tried learning rates on a powers-of-ten grid, kept the largest value that converged, and confirmed it against the theoretical limit</w:t>
      </w:r>
      <w:r>
        <w:t xml:space="preserve"> </w:t>
      </w:r>
      <m:oMath>
        <m:r>
          <m:t>2</m:t>
        </m:r>
        <m:r>
          <m:rPr>
            <m:sty m:val="p"/>
          </m:rPr>
          <m:t>/</m:t>
        </m:r>
        <m:sSub>
          <m:e>
            <m:r>
              <m:t>λ</m:t>
            </m:r>
          </m:e>
          <m:sub>
            <m:r>
              <m:rPr>
                <m:sty m:val="p"/>
              </m:rPr>
              <m:t>max</m:t>
            </m:r>
          </m:sub>
        </m:sSub>
      </m:oMath>
      <w:r>
        <w:t xml:space="preserve">. Every reported run uses a fixed budget of</w:t>
      </w:r>
      <w:r>
        <w:t xml:space="preserve"> </w:t>
      </w:r>
      <m:oMath>
        <m:r>
          <m:t>T</m:t>
        </m:r>
        <m:r>
          <m:rPr>
            <m:sty m:val="p"/>
          </m:rPr>
          <m:t>=</m:t>
        </m:r>
        <m:r>
          <m:t>5</m:t>
        </m:r>
        <m:r>
          <m:rPr>
            <m:sty m:val="p"/>
          </m:rPr>
          <m:t>,</m:t>
        </m:r>
        <m:r>
          <m:t>000</m:t>
        </m:r>
      </m:oMath>
      <w:r>
        <w:t xml:space="preserve"> </w:t>
      </w:r>
      <w:r>
        <w:t xml:space="preserve">iterations with the tolerance disabled (</w:t>
      </w:r>
      <m:oMath>
        <m:r>
          <m:t>ε</m:t>
        </m:r>
        <m:r>
          <m:rPr>
            <m:sty m:val="p"/>
          </m:rPr>
          <m:t>=</m:t>
        </m:r>
        <m:r>
          <m:t>0</m:t>
        </m:r>
      </m:oMath>
      <w:r>
        <w:t xml:space="preserve">), so all loss curves span the same horizon. The library version in</w:t>
      </w:r>
      <w:r>
        <w:t xml:space="preserve"> </w:t>
      </w:r>
      <w:r>
        <w:rPr>
          <w:rStyle w:val="VerbatimChar"/>
        </w:rPr>
        <w:t xml:space="preserve">utils/grad_descent.py</w:t>
      </w:r>
      <w:r>
        <w:t xml:space="preserve"> </w:t>
      </w:r>
      <w:r>
        <w:t xml:space="preserve">also supports early stopping at</w:t>
      </w:r>
      <w:r>
        <w:t xml:space="preserve"> </w:t>
      </w:r>
      <m:oMath>
        <m:r>
          <m:t>ε</m:t>
        </m:r>
        <m:r>
          <m:rPr>
            <m:sty m:val="p"/>
          </m:rPr>
          <m:t>=</m:t>
        </m:r>
        <m:sSup>
          <m:e>
            <m:r>
              <m:t>10</m:t>
            </m:r>
          </m:e>
          <m:sup>
            <m:r>
              <m:rPr>
                <m:sty m:val="p"/>
              </m:rPr>
              <m:t>−</m:t>
            </m:r>
            <m:r>
              <m:t>8</m:t>
            </m:r>
          </m:sup>
        </m:sSup>
      </m:oMath>
      <w:r>
        <w:t xml:space="preserve"> </w:t>
      </w:r>
      <w:r>
        <w:t xml:space="preserve">for exploratory runs.</w:t>
      </w:r>
    </w:p>
    <w:p>
      <w:pPr>
        <w:pStyle w:val="TableCaption"/>
      </w:pPr>
      <w:r>
        <w:rPr>
          <w:b/>
          <w:bCs/>
        </w:rPr>
        <w:t xml:space="preserve">Table 1.</w:t>
      </w:r>
      <w:r>
        <w:t xml:space="preserve"> </w:t>
      </w:r>
      <w:r>
        <w:t xml:space="preserve">Gradient descent hyperparameters and the conditioning of each problem.</w:t>
      </w:r>
      <w:r>
        <w:t xml:space="preserve"> </w:t>
      </w:r>
      <m:oMath>
        <m:r>
          <m:t>κ</m:t>
        </m:r>
        <m:r>
          <m:rPr>
            <m:sty m:val="p"/>
          </m:rPr>
          <m:t>(</m:t>
        </m:r>
        <m:r>
          <m:t>H</m:t>
        </m:r>
        <m:r>
          <m:rPr>
            <m:sty m:val="p"/>
          </m:rPr>
          <m:t>)</m:t>
        </m:r>
      </m:oMath>
      <w:r>
        <w:t xml:space="preserve"> </w:t>
      </w:r>
      <w:r>
        <w:t xml:space="preserve">is the condition number of the MSE Hessian, including the intercept column.</w:t>
      </w:r>
    </w:p>
    <w:tbl>
      <w:tblPr>
        <w:tblStyle w:val="Table"/>
        <w:tblW w:type="dxa" w:w="9358"/>
        <w:jc w:val="center"/>
        <w:tblBorders>
          <w:top w:val="single" w:sz="8" w:space="0" w:color="1F3A5F"/>
          <w:left w:val="nil"/>
          <w:bottom w:val="single" w:sz="8" w:space="0" w:color="1F3A5F"/>
          <w:right w:val="nil"/>
          <w:insideH w:val="single" w:sz="2" w:space="0" w:color="D0D0D0"/>
          <w:insideV w:val="nil"/>
        </w:tblBorders>
        <w:tblLayout w:type="fixed"/>
        <w:tblCellMar>
          <w:top w:w="30" w:type="dxa"/>
          <w:left w:w="80" w:type="dxa"/>
          <w:bottom w:w="30" w:type="dxa"/>
          <w:right w:w="80" w:type="dxa"/>
        </w:tblCellMar>
        <w:tblLook w:firstRow="1" w:lastRow="0" w:firstColumn="0" w:lastColumn="0" w:noHBand="0" w:noVBand="0" w:val="0020"/>
        <w:tblCaption w:val="Table 1. Gradient descent hyperparameters and the conditioning of each problem. \kappa(H) is the condition number of the MSE Hessian, including the intercept column."/>
      </w:tblPr>
      <w:tblGrid>
        <w:gridCol w:w="1887"/>
        <w:gridCol w:w="1194"/>
        <w:gridCol w:w="1714"/>
        <w:gridCol w:w="1714"/>
        <w:gridCol w:w="1309"/>
        <w:gridCol w:w="1540"/>
      </w:tblGrid>
      <w:tr>
        <w:trPr>
          <w:cantSplit/>
          <w:tblHeader w:val="on"/>
        </w:trPr>
        <w:tc>
          <w:tcPr>
            <w:tcW w:w="1887" w:type="dxa"/>
            <w:tcBorders>
              <w:bottom w:val="single" w:sz="6" w:space="0" w:color="1F3A5F"/>
            </w:tcBorders>
            <w:shd w:val="clear" w:color="auto" w:fill="E9EEF5"/>
            <w:vAlign w:val="bottom"/>
          </w:tcPr>
          <w:p>
            <w:pPr>
              <w:pStyle w:val="Compact"/>
              <w:keepNext/>
              <w:spacing w:before="0" w:after="0" w:line="276" w:lineRule="auto"/>
              <w:jc w:val="left"/>
            </w:pPr>
            <w:r>
              <w:rPr>
                <w:b/>
                <w:sz w:val="22"/>
              </w:rPr>
              <w:t xml:space="preserve">Configuration</w:t>
            </w:r>
          </w:p>
        </w:tc>
        <w:tc>
          <w:tcPr>
            <w:tcW w:w="1194" w:type="dxa"/>
            <w:tcBorders>
              <w:bottom w:val="single" w:sz="6" w:space="0" w:color="1F3A5F"/>
            </w:tcBorders>
            <w:shd w:val="clear" w:color="auto" w:fill="E9EEF5"/>
            <w:vAlign w:val="bottom"/>
          </w:tcPr>
          <w:p>
            <w:pPr>
              <w:pStyle w:val="Compact"/>
              <w:keepNext/>
              <w:spacing w:before="0" w:after="0" w:line="276" w:lineRule="auto"/>
              <w:jc w:val="right"/>
            </w:pPr>
            <w:r>
              <w:rPr>
                <w:b/>
                <w:sz w:val="22"/>
              </w:rPr>
              <w:t xml:space="preserve">Learning rate</w:t>
            </w:r>
            <w:r>
              <w:rPr>
                <w:b/>
                <w:sz w:val="22"/>
              </w:rPr>
              <w:t xml:space="preserve"> </w:t>
            </w:r>
            <m:oMath>
              <m:r>
                <w:rPr>
                  <w:sz w:val="22"/>
                  <w:szCs w:val="22"/>
                </w:rPr>
                <m:t>α</m:t>
              </m:r>
            </m:oMath>
          </w:p>
        </w:tc>
        <w:tc>
          <w:tcPr>
            <w:tcW w:w="1714" w:type="dxa"/>
            <w:tcBorders>
              <w:bottom w:val="single" w:sz="6" w:space="0" w:color="1F3A5F"/>
            </w:tcBorders>
            <w:shd w:val="clear" w:color="auto" w:fill="E9EEF5"/>
            <w:vAlign w:val="bottom"/>
          </w:tcPr>
          <w:p>
            <w:pPr>
              <w:pStyle w:val="Compact"/>
              <w:keepNext/>
              <w:spacing w:before="0" w:after="0" w:line="276" w:lineRule="auto"/>
              <w:jc w:val="right"/>
            </w:pPr>
            <w:r>
              <w:rPr>
                <w:b/>
                <w:sz w:val="22"/>
              </w:rPr>
              <w:t xml:space="preserve">Limit</w:t>
            </w:r>
            <w:r>
              <w:rPr>
                <w:b/>
                <w:sz w:val="22"/>
              </w:rPr>
              <w:t xml:space="preserve"> </w:t>
            </w:r>
            <m:oMath>
              <m:r>
                <w:rPr>
                  <w:sz w:val="22"/>
                  <w:szCs w:val="22"/>
                </w:rPr>
                <m:t>2</m:t>
              </m:r>
              <m:r>
                <m:rPr>
                  <m:sty m:val="p"/>
                </m:rPr>
                <w:rPr>
                  <w:sz w:val="22"/>
                  <w:szCs w:val="22"/>
                </w:rPr>
                <m:t>/</m:t>
              </m:r>
              <m:sSub>
                <m:e>
                  <m:r>
                    <w:rPr>
                      <w:sz w:val="22"/>
                      <w:szCs w:val="22"/>
                    </w:rPr>
                    <m:t>λ</m:t>
                  </m:r>
                </m:e>
                <m:sub>
                  <m:r>
                    <m:rPr>
                      <m:sty m:val="p"/>
                    </m:rPr>
                    <w:rPr>
                      <w:sz w:val="22"/>
                      <w:szCs w:val="22"/>
                    </w:rPr>
                    <m:t>max</m:t>
                  </m:r>
                </m:sub>
              </m:sSub>
            </m:oMath>
          </w:p>
        </w:tc>
        <w:tc>
          <w:tcPr>
            <w:tcW w:w="1714" w:type="dxa"/>
            <w:tcBorders>
              <w:bottom w:val="single" w:sz="6" w:space="0" w:color="1F3A5F"/>
            </w:tcBorders>
            <w:shd w:val="clear" w:color="auto" w:fill="E9EEF5"/>
            <w:vAlign w:val="bottom"/>
          </w:tcPr>
          <w:p>
            <w:pPr>
              <w:pStyle w:val="Compact"/>
              <w:keepNext/>
              <w:spacing w:before="0" w:after="0" w:line="276" w:lineRule="auto"/>
              <w:jc w:val="right"/>
            </w:pPr>
            <m:oMath>
              <m:r>
                <w:rPr>
                  <w:sz w:val="22"/>
                  <w:szCs w:val="22"/>
                </w:rPr>
                <m:t>κ</m:t>
              </m:r>
              <m:r>
                <m:rPr>
                  <m:sty m:val="p"/>
                </m:rPr>
                <w:rPr>
                  <w:sz w:val="22"/>
                  <w:szCs w:val="22"/>
                </w:rPr>
                <m:t>(</m:t>
              </m:r>
              <m:r>
                <w:rPr>
                  <w:sz w:val="22"/>
                  <w:szCs w:val="22"/>
                </w:rPr>
                <m:t>H</m:t>
              </m:r>
              <m:r>
                <m:rPr>
                  <m:sty m:val="p"/>
                </m:rPr>
                <w:rPr>
                  <w:sz w:val="22"/>
                  <w:szCs w:val="22"/>
                </w:rPr>
                <m:t>)</m:t>
              </m:r>
            </m:oMath>
          </w:p>
        </w:tc>
        <w:tc>
          <w:tcPr>
            <w:tcW w:w="1309" w:type="dxa"/>
            <w:tcBorders>
              <w:bottom w:val="single" w:sz="6" w:space="0" w:color="1F3A5F"/>
            </w:tcBorders>
            <w:shd w:val="clear" w:color="auto" w:fill="E9EEF5"/>
            <w:vAlign w:val="bottom"/>
          </w:tcPr>
          <w:p>
            <w:pPr>
              <w:pStyle w:val="Compact"/>
              <w:keepNext/>
              <w:spacing w:before="0" w:after="0" w:line="276" w:lineRule="auto"/>
              <w:jc w:val="right"/>
            </w:pPr>
            <w:r>
              <w:rPr>
                <w:b/>
                <w:sz w:val="22"/>
              </w:rPr>
              <w:t xml:space="preserve">Max iterations</w:t>
            </w:r>
          </w:p>
        </w:tc>
        <w:tc>
          <w:tcPr>
            <w:tcW w:w="1540" w:type="dxa"/>
            <w:tcBorders>
              <w:bottom w:val="single" w:sz="6" w:space="0" w:color="1F3A5F"/>
            </w:tcBorders>
            <w:shd w:val="clear" w:color="auto" w:fill="E9EEF5"/>
            <w:vAlign w:val="bottom"/>
          </w:tcPr>
          <w:p>
            <w:pPr>
              <w:pStyle w:val="Compact"/>
              <w:keepNext/>
              <w:spacing w:before="0" w:after="0" w:line="276" w:lineRule="auto"/>
              <w:jc w:val="left"/>
            </w:pPr>
            <w:r>
              <w:rPr>
                <w:b/>
                <w:sz w:val="22"/>
              </w:rPr>
              <w:t xml:space="preserve">Stopping rule</w:t>
            </w:r>
          </w:p>
        </w:tc>
      </w:tr>
      <w:tr>
        <w:trPr>
          <w:cantSplit/>
        </w:trPr>
        <w:tc>
          <w:tcPr>
            <w:tcW w:w="1887" w:type="dxa"/>
          </w:tcPr>
          <w:p>
            <w:pPr>
              <w:pStyle w:val="Compact"/>
              <w:keepNext/>
              <w:spacing w:before="0" w:after="0" w:line="276" w:lineRule="auto"/>
              <w:jc w:val="left"/>
            </w:pPr>
            <w:r>
              <w:rPr>
                <w:sz w:val="22"/>
              </w:rPr>
              <w:t xml:space="preserve">Untransformed</w:t>
            </w:r>
          </w:p>
        </w:tc>
        <w:tc>
          <w:tcPr>
            <w:tcW w:w="1194" w:type="dxa"/>
          </w:tcPr>
          <w:p>
            <w:pPr>
              <w:pStyle w:val="Compact"/>
              <w:keepNext/>
              <w:spacing w:before="0" w:after="0" w:line="276" w:lineRule="auto"/>
              <w:jc w:val="right"/>
            </w:pPr>
            <m:oMath>
              <m:r>
                <w:rPr>
                  <w:sz w:val="22"/>
                  <w:szCs w:val="22"/>
                </w:rPr>
                <m:t>3</m:t>
              </m:r>
              <m:r>
                <m:rPr>
                  <m:sty m:val="p"/>
                </m:rPr>
                <w:rPr>
                  <w:sz w:val="22"/>
                  <w:szCs w:val="22"/>
                </w:rPr>
                <m:t>×</m:t>
              </m:r>
              <m:sSup>
                <m:e>
                  <m:r>
                    <w:rPr>
                      <w:sz w:val="22"/>
                      <w:szCs w:val="22"/>
                    </w:rPr>
                    <m:t>10</m:t>
                  </m:r>
                </m:e>
                <m:sup>
                  <m:r>
                    <m:rPr>
                      <m:sty m:val="p"/>
                    </m:rPr>
                    <w:rPr>
                      <w:sz w:val="22"/>
                      <w:szCs w:val="22"/>
                    </w:rPr>
                    <m:t>−</m:t>
                  </m:r>
                  <m:r>
                    <w:rPr>
                      <w:sz w:val="22"/>
                      <w:szCs w:val="22"/>
                    </w:rPr>
                    <m:t>7</m:t>
                  </m:r>
                </m:sup>
              </m:sSup>
            </m:oMath>
          </w:p>
        </w:tc>
        <w:tc>
          <w:tcPr>
            <w:tcW w:w="1714" w:type="dxa"/>
          </w:tcPr>
          <w:p>
            <w:pPr>
              <w:pStyle w:val="Compact"/>
              <w:keepNext/>
              <w:spacing w:before="0" w:after="0" w:line="276" w:lineRule="auto"/>
              <w:jc w:val="right"/>
            </w:pPr>
            <m:oMath>
              <m:r>
                <w:rPr>
                  <w:sz w:val="22"/>
                  <w:szCs w:val="22"/>
                </w:rPr>
                <m:t>5.99</m:t>
              </m:r>
              <m:r>
                <m:rPr>
                  <m:sty m:val="p"/>
                </m:rPr>
                <w:rPr>
                  <w:sz w:val="22"/>
                  <w:szCs w:val="22"/>
                </w:rPr>
                <m:t>×</m:t>
              </m:r>
              <m:sSup>
                <m:e>
                  <m:r>
                    <w:rPr>
                      <w:sz w:val="22"/>
                      <w:szCs w:val="22"/>
                    </w:rPr>
                    <m:t>10</m:t>
                  </m:r>
                </m:e>
                <m:sup>
                  <m:r>
                    <m:rPr>
                      <m:sty m:val="p"/>
                    </m:rPr>
                    <w:rPr>
                      <w:sz w:val="22"/>
                      <w:szCs w:val="22"/>
                    </w:rPr>
                    <m:t>−</m:t>
                  </m:r>
                  <m:r>
                    <w:rPr>
                      <w:sz w:val="22"/>
                      <w:szCs w:val="22"/>
                    </w:rPr>
                    <m:t>7</m:t>
                  </m:r>
                </m:sup>
              </m:sSup>
            </m:oMath>
          </w:p>
        </w:tc>
        <w:tc>
          <w:tcPr>
            <w:tcW w:w="1714" w:type="dxa"/>
          </w:tcPr>
          <w:p>
            <w:pPr>
              <w:pStyle w:val="Compact"/>
              <w:keepNext/>
              <w:spacing w:before="0" w:after="0" w:line="276" w:lineRule="auto"/>
              <w:jc w:val="right"/>
            </w:pPr>
            <m:oMath>
              <m:r>
                <w:rPr>
                  <w:sz w:val="22"/>
                  <w:szCs w:val="22"/>
                </w:rPr>
                <m:t>1.18</m:t>
              </m:r>
              <m:r>
                <m:rPr>
                  <m:sty m:val="p"/>
                </m:rPr>
                <w:rPr>
                  <w:sz w:val="22"/>
                  <w:szCs w:val="22"/>
                </w:rPr>
                <m:t>×</m:t>
              </m:r>
              <m:sSup>
                <m:e>
                  <m:r>
                    <w:rPr>
                      <w:sz w:val="22"/>
                      <w:szCs w:val="22"/>
                    </w:rPr>
                    <m:t>10</m:t>
                  </m:r>
                </m:e>
                <m:sup>
                  <m:r>
                    <w:rPr>
                      <w:sz w:val="22"/>
                      <w:szCs w:val="22"/>
                    </w:rPr>
                    <m:t>10</m:t>
                  </m:r>
                </m:sup>
              </m:sSup>
            </m:oMath>
          </w:p>
        </w:tc>
        <w:tc>
          <w:tcPr>
            <w:tcW w:w="1309" w:type="dxa"/>
          </w:tcPr>
          <w:p>
            <w:pPr>
              <w:pStyle w:val="Compact"/>
              <w:keepNext/>
              <w:spacing w:before="0" w:after="0" w:line="276" w:lineRule="auto"/>
              <w:jc w:val="right"/>
            </w:pPr>
            <w:r>
              <w:rPr>
                <w:sz w:val="22"/>
              </w:rPr>
              <w:t xml:space="preserve">5,000</w:t>
            </w:r>
          </w:p>
        </w:tc>
        <w:tc>
          <w:tcPr>
            <w:tcW w:w="1540" w:type="dxa"/>
          </w:tcPr>
          <w:p>
            <w:pPr>
              <w:pStyle w:val="Compact"/>
              <w:keepNext/>
              <w:spacing w:before="0" w:after="0" w:line="276" w:lineRule="auto"/>
              <w:jc w:val="left"/>
            </w:pPr>
            <w:r>
              <w:rPr>
                <w:sz w:val="22"/>
              </w:rPr>
              <w:t xml:space="preserve">fixed budget</w:t>
            </w:r>
          </w:p>
        </w:tc>
      </w:tr>
      <w:tr>
        <w:trPr>
          <w:cantSplit/>
        </w:trPr>
        <w:tc>
          <w:tcPr>
            <w:tcW w:w="1887" w:type="dxa"/>
          </w:tcPr>
          <w:p>
            <w:pPr>
              <w:pStyle w:val="Compact"/>
              <w:keepNext/>
              <w:spacing w:before="0" w:after="0" w:line="276" w:lineRule="auto"/>
              <w:jc w:val="left"/>
            </w:pPr>
            <w:r>
              <w:rPr>
                <w:sz w:val="22"/>
              </w:rPr>
              <w:t xml:space="preserve">Standardized</w:t>
            </w:r>
          </w:p>
        </w:tc>
        <w:tc>
          <w:tcPr>
            <w:tcW w:w="1194" w:type="dxa"/>
          </w:tcPr>
          <w:p>
            <w:pPr>
              <w:pStyle w:val="Compact"/>
              <w:keepNext/>
              <w:spacing w:before="0" w:after="0" w:line="276" w:lineRule="auto"/>
              <w:jc w:val="right"/>
            </w:pPr>
            <m:oMath>
              <m:r>
                <w:rPr>
                  <w:sz w:val="22"/>
                  <w:szCs w:val="22"/>
                </w:rPr>
                <m:t>0.2</m:t>
              </m:r>
            </m:oMath>
          </w:p>
        </w:tc>
        <w:tc>
          <w:tcPr>
            <w:tcW w:w="1714" w:type="dxa"/>
          </w:tcPr>
          <w:p>
            <w:pPr>
              <w:pStyle w:val="Compact"/>
              <w:keepNext/>
              <w:spacing w:before="0" w:after="0" w:line="276" w:lineRule="auto"/>
              <w:jc w:val="right"/>
            </w:pPr>
            <m:oMath>
              <m:r>
                <w:rPr>
                  <w:sz w:val="22"/>
                  <w:szCs w:val="22"/>
                </w:rPr>
                <m:t>0.427</m:t>
              </m:r>
            </m:oMath>
          </w:p>
        </w:tc>
        <w:tc>
          <w:tcPr>
            <w:tcW w:w="1714" w:type="dxa"/>
          </w:tcPr>
          <w:p>
            <w:pPr>
              <w:pStyle w:val="Compact"/>
              <w:keepNext/>
              <w:spacing w:before="0" w:after="0" w:line="276" w:lineRule="auto"/>
              <w:jc w:val="right"/>
            </w:pPr>
            <m:oMath>
              <m:r>
                <w:rPr>
                  <w:sz w:val="22"/>
                  <w:szCs w:val="22"/>
                </w:rPr>
                <m:t>86.8</m:t>
              </m:r>
            </m:oMath>
          </w:p>
        </w:tc>
        <w:tc>
          <w:tcPr>
            <w:tcW w:w="1309" w:type="dxa"/>
          </w:tcPr>
          <w:p>
            <w:pPr>
              <w:pStyle w:val="Compact"/>
              <w:keepNext/>
              <w:spacing w:before="0" w:after="0" w:line="276" w:lineRule="auto"/>
              <w:jc w:val="right"/>
            </w:pPr>
            <w:r>
              <w:rPr>
                <w:sz w:val="22"/>
              </w:rPr>
              <w:t xml:space="preserve">5,000</w:t>
            </w:r>
          </w:p>
        </w:tc>
        <w:tc>
          <w:tcPr>
            <w:tcW w:w="1540" w:type="dxa"/>
          </w:tcPr>
          <w:p>
            <w:pPr>
              <w:pStyle w:val="Compact"/>
              <w:keepNext/>
              <w:spacing w:before="0" w:after="0" w:line="276" w:lineRule="auto"/>
              <w:jc w:val="left"/>
            </w:pPr>
            <w:r>
              <w:rPr>
                <w:sz w:val="22"/>
              </w:rPr>
              <w:t xml:space="preserve">fixed budget</w:t>
            </w:r>
          </w:p>
        </w:tc>
      </w:tr>
      <w:tr>
        <w:trPr>
          <w:cantSplit/>
        </w:trPr>
        <w:tc>
          <w:tcPr>
            <w:tcW w:w="1887" w:type="dxa"/>
          </w:tcPr>
          <w:p>
            <w:pPr>
              <w:pStyle w:val="Compact"/>
              <w:keepNext/>
              <w:spacing w:before="0" w:after="0" w:line="276" w:lineRule="auto"/>
              <w:jc w:val="left"/>
            </w:pPr>
            <w:r>
              <w:rPr>
                <w:sz w:val="22"/>
              </w:rPr>
              <w:t xml:space="preserve">Log-transformed</w:t>
            </w:r>
          </w:p>
        </w:tc>
        <w:tc>
          <w:tcPr>
            <w:tcW w:w="1194" w:type="dxa"/>
          </w:tcPr>
          <w:p>
            <w:pPr>
              <w:pStyle w:val="Compact"/>
              <w:keepNext/>
              <w:spacing w:before="0" w:after="0" w:line="276" w:lineRule="auto"/>
              <w:jc w:val="right"/>
            </w:pPr>
            <m:oMath>
              <m:r>
                <w:rPr>
                  <w:sz w:val="22"/>
                  <w:szCs w:val="22"/>
                </w:rPr>
                <m:t>5</m:t>
              </m:r>
              <m:r>
                <m:rPr>
                  <m:sty m:val="p"/>
                </m:rPr>
                <w:rPr>
                  <w:sz w:val="22"/>
                  <w:szCs w:val="22"/>
                </w:rPr>
                <m:t>×</m:t>
              </m:r>
              <m:sSup>
                <m:e>
                  <m:r>
                    <w:rPr>
                      <w:sz w:val="22"/>
                      <w:szCs w:val="22"/>
                    </w:rPr>
                    <m:t>10</m:t>
                  </m:r>
                </m:e>
                <m:sup>
                  <m:r>
                    <m:rPr>
                      <m:sty m:val="p"/>
                    </m:rPr>
                    <w:rPr>
                      <w:sz w:val="22"/>
                      <w:szCs w:val="22"/>
                    </w:rPr>
                    <m:t>−</m:t>
                  </m:r>
                  <m:r>
                    <w:rPr>
                      <w:sz w:val="22"/>
                      <w:szCs w:val="22"/>
                    </w:rPr>
                    <m:t>3</m:t>
                  </m:r>
                </m:sup>
              </m:sSup>
            </m:oMath>
          </w:p>
        </w:tc>
        <w:tc>
          <w:tcPr>
            <w:tcW w:w="1714" w:type="dxa"/>
          </w:tcPr>
          <w:p>
            <w:pPr>
              <w:pStyle w:val="Compact"/>
              <w:keepNext/>
              <w:spacing w:before="0" w:after="0" w:line="276" w:lineRule="auto"/>
              <w:jc w:val="right"/>
            </w:pPr>
            <m:oMath>
              <m:r>
                <w:rPr>
                  <w:sz w:val="22"/>
                  <w:szCs w:val="22"/>
                </w:rPr>
                <m:t>5.68</m:t>
              </m:r>
              <m:r>
                <m:rPr>
                  <m:sty m:val="p"/>
                </m:rPr>
                <w:rPr>
                  <w:sz w:val="22"/>
                  <w:szCs w:val="22"/>
                </w:rPr>
                <m:t>×</m:t>
              </m:r>
              <m:sSup>
                <m:e>
                  <m:r>
                    <w:rPr>
                      <w:sz w:val="22"/>
                      <w:szCs w:val="22"/>
                    </w:rPr>
                    <m:t>10</m:t>
                  </m:r>
                </m:e>
                <m:sup>
                  <m:r>
                    <m:rPr>
                      <m:sty m:val="p"/>
                    </m:rPr>
                    <w:rPr>
                      <w:sz w:val="22"/>
                      <w:szCs w:val="22"/>
                    </w:rPr>
                    <m:t>−</m:t>
                  </m:r>
                  <m:r>
                    <w:rPr>
                      <w:sz w:val="22"/>
                      <w:szCs w:val="22"/>
                    </w:rPr>
                    <m:t>3</m:t>
                  </m:r>
                </m:sup>
              </m:sSup>
            </m:oMath>
          </w:p>
        </w:tc>
        <w:tc>
          <w:tcPr>
            <w:tcW w:w="1714" w:type="dxa"/>
          </w:tcPr>
          <w:p>
            <w:pPr>
              <w:pStyle w:val="Compact"/>
              <w:keepNext/>
              <w:spacing w:before="0" w:after="0" w:line="276" w:lineRule="auto"/>
              <w:jc w:val="right"/>
            </w:pPr>
            <m:oMath>
              <m:r>
                <w:rPr>
                  <w:sz w:val="22"/>
                  <w:szCs w:val="22"/>
                </w:rPr>
                <m:t>1.63</m:t>
              </m:r>
              <m:r>
                <m:rPr>
                  <m:sty m:val="p"/>
                </m:rPr>
                <w:rPr>
                  <w:sz w:val="22"/>
                  <w:szCs w:val="22"/>
                </w:rPr>
                <m:t>×</m:t>
              </m:r>
              <m:sSup>
                <m:e>
                  <m:r>
                    <w:rPr>
                      <w:sz w:val="22"/>
                      <w:szCs w:val="22"/>
                    </w:rPr>
                    <m:t>10</m:t>
                  </m:r>
                </m:e>
                <m:sup>
                  <m:r>
                    <w:rPr>
                      <w:sz w:val="22"/>
                      <w:szCs w:val="22"/>
                    </w:rPr>
                    <m:t>7</m:t>
                  </m:r>
                </m:sup>
              </m:sSup>
            </m:oMath>
          </w:p>
        </w:tc>
        <w:tc>
          <w:tcPr>
            <w:tcW w:w="1309" w:type="dxa"/>
          </w:tcPr>
          <w:p>
            <w:pPr>
              <w:pStyle w:val="Compact"/>
              <w:keepNext/>
              <w:spacing w:before="0" w:after="0" w:line="276" w:lineRule="auto"/>
              <w:jc w:val="right"/>
            </w:pPr>
            <w:r>
              <w:rPr>
                <w:sz w:val="22"/>
              </w:rPr>
              <w:t xml:space="preserve">5,000</w:t>
            </w:r>
          </w:p>
        </w:tc>
        <w:tc>
          <w:tcPr>
            <w:tcW w:w="1540" w:type="dxa"/>
          </w:tcPr>
          <w:p>
            <w:pPr>
              <w:pStyle w:val="Compact"/>
              <w:keepNext/>
              <w:spacing w:before="0" w:after="0" w:line="276" w:lineRule="auto"/>
              <w:jc w:val="left"/>
            </w:pPr>
            <w:r>
              <w:rPr>
                <w:sz w:val="22"/>
              </w:rPr>
              <w:t xml:space="preserve">fixed budget</w:t>
            </w:r>
          </w:p>
        </w:tc>
      </w:tr>
      <w:tr>
        <w:trPr>
          <w:cantSplit/>
        </w:trPr>
        <w:tc>
          <w:tcPr>
            <w:tcW w:w="1887" w:type="dxa"/>
          </w:tcPr>
          <w:p>
            <w:pPr>
              <w:pStyle w:val="Compact"/>
              <w:spacing w:before="0" w:after="0" w:line="276" w:lineRule="auto"/>
              <w:jc w:val="left"/>
            </w:pPr>
            <w:r>
              <w:rPr>
                <w:sz w:val="22"/>
              </w:rPr>
              <w:t xml:space="preserve">Univariate models</w:t>
            </w:r>
          </w:p>
        </w:tc>
        <w:tc>
          <w:tcPr>
            <w:tcW w:w="1194" w:type="dxa"/>
          </w:tcPr>
          <w:p>
            <w:pPr>
              <w:pStyle w:val="Compact"/>
              <w:spacing w:before="0" w:after="0" w:line="276" w:lineRule="auto"/>
              <w:jc w:val="right"/>
            </w:pPr>
            <w:r>
              <w:rPr>
                <w:sz w:val="22"/>
              </w:rPr>
              <w:t xml:space="preserve">Table 5</w:t>
            </w:r>
          </w:p>
        </w:tc>
        <w:tc>
          <w:tcPr>
            <w:tcW w:w="1714" w:type="dxa"/>
          </w:tcPr>
          <w:p>
            <w:pPr>
              <w:pStyle w:val="Compact"/>
              <w:spacing w:before="0" w:after="0" w:line="276" w:lineRule="auto"/>
              <w:jc w:val="right"/>
            </w:pPr>
            <w:r>
              <w:rPr>
                <w:sz w:val="22"/>
              </w:rPr>
              <w:t xml:space="preserve">Table 5</w:t>
            </w:r>
          </w:p>
        </w:tc>
        <w:tc>
          <w:tcPr>
            <w:tcW w:w="1714" w:type="dxa"/>
          </w:tcPr>
          <w:p>
            <w:pPr>
              <w:pStyle w:val="Compact"/>
              <w:spacing w:before="0" w:after="0" w:line="276" w:lineRule="auto"/>
              <w:jc w:val="right"/>
            </w:pPr>
            <w:r>
              <w:rPr>
                <w:sz w:val="22"/>
              </w:rPr>
              <w:t xml:space="preserve">Table 5</w:t>
            </w:r>
          </w:p>
        </w:tc>
        <w:tc>
          <w:tcPr>
            <w:tcW w:w="1309" w:type="dxa"/>
          </w:tcPr>
          <w:p>
            <w:pPr>
              <w:pStyle w:val="Compact"/>
              <w:spacing w:before="0" w:after="0" w:line="276" w:lineRule="auto"/>
              <w:jc w:val="right"/>
            </w:pPr>
            <w:r>
              <w:rPr>
                <w:sz w:val="22"/>
              </w:rPr>
              <w:t xml:space="preserve">5,000</w:t>
            </w:r>
          </w:p>
        </w:tc>
        <w:tc>
          <w:tcPr>
            <w:tcW w:w="1540" w:type="dxa"/>
          </w:tcPr>
          <w:p>
            <w:pPr>
              <w:pStyle w:val="Compact"/>
              <w:spacing w:before="0" w:after="0" w:line="276" w:lineRule="auto"/>
              <w:jc w:val="left"/>
            </w:pPr>
            <w:r>
              <w:rPr>
                <w:sz w:val="22"/>
              </w:rPr>
              <w:t xml:space="preserve">fixed budget</w:t>
            </w:r>
          </w:p>
        </w:tc>
      </w:tr>
    </w:tbl>
    <w:p>
      <w:pPr>
        <w:pStyle w:val="BodyText"/>
        <w:spacing w:before="200"/>
      </w:pPr>
      <w:r>
        <w:rPr>
          <w:b/>
          <w:bCs/>
        </w:rPr>
        <w:t xml:space="preserve">Environment and data partition.</w:t>
      </w:r>
      <w:r>
        <w:t xml:space="preserve"> </w:t>
      </w:r>
      <w:r>
        <w:t xml:space="preserve">All results were produced with Python 3.12.15 on macOS (arm64), using NumPy 2.5.4, pandas 3.0.6, scikit-learn 1.9.1, statsmodels 0.15.0, matplotlib 3.11.2 and xlrd 2.0.2. Gradient descent uses only NumPy matrix operations. scikit-learn provides</w:t>
      </w:r>
      <w:r>
        <w:t xml:space="preserve"> </w:t>
      </w:r>
      <w:r>
        <w:rPr>
          <w:rStyle w:val="VerbatimChar"/>
        </w:rPr>
        <w:t xml:space="preserve">StandardScaler</w:t>
      </w:r>
      <w:r>
        <w:t xml:space="preserve"> </w:t>
      </w:r>
      <w:r>
        <w:t xml:space="preserve">and the closed-form</w:t>
      </w:r>
      <w:r>
        <w:t xml:space="preserve"> </w:t>
      </w:r>
      <w:r>
        <w:rPr>
          <w:rStyle w:val="VerbatimChar"/>
        </w:rPr>
        <w:t xml:space="preserve">LinearRegression</w:t>
      </w:r>
      <w:r>
        <w:t xml:space="preserve"> </w:t>
      </w:r>
      <w:r>
        <w:t xml:space="preserve">baselines, and statsmodels provides</w:t>
      </w:r>
      <w:r>
        <w:t xml:space="preserve"> </w:t>
      </w:r>
      <w:r>
        <w:rPr>
          <w:rStyle w:val="VerbatimChar"/>
        </w:rPr>
        <w:t xml:space="preserve">OLS</w:t>
      </w:r>
      <w:r>
        <w:t xml:space="preserve"> </w:t>
      </w:r>
      <w:r>
        <w:t xml:space="preserve">p-values. The partition is deterministic, with no shuffling:</w:t>
      </w:r>
    </w:p>
    <w:p>
      <w:pPr>
        <w:pStyle w:val="Compact"/>
        <w:numPr>
          <w:ilvl w:val="0"/>
          <w:numId w:val="1001"/>
        </w:numPr>
      </w:pPr>
      <w:r>
        <w:t xml:space="preserve">Read</w:t>
      </w:r>
      <w:r>
        <w:t xml:space="preserve"> </w:t>
      </w:r>
      <w:r>
        <w:rPr>
          <w:rStyle w:val="VerbatimChar"/>
        </w:rPr>
        <w:t xml:space="preserve">Concrete_Data.xls</w:t>
      </w:r>
      <w:r>
        <w:t xml:space="preserve"> </w:t>
      </w:r>
      <w:r>
        <w:t xml:space="preserve">with</w:t>
      </w:r>
      <w:r>
        <w:t xml:space="preserve"> </w:t>
      </w:r>
      <w:r>
        <w:rPr>
          <w:rStyle w:val="VerbatimChar"/>
        </w:rPr>
        <w:t xml:space="preserve">pandas.read_excel</w:t>
      </w:r>
      <w:r>
        <w:t xml:space="preserve"> </w:t>
      </w:r>
      <w:r>
        <w:t xml:space="preserve">(1,030 rows; 8 predictors and the target).</w:t>
      </w:r>
    </w:p>
    <w:p>
      <w:pPr>
        <w:pStyle w:val="Compact"/>
        <w:numPr>
          <w:ilvl w:val="0"/>
          <w:numId w:val="1001"/>
        </w:numPr>
      </w:pPr>
      <w:r>
        <w:t xml:space="preserve">Test set: rows 501–630 in 1-indexed numbering (</w:t>
      </w:r>
      <w:r>
        <w:rPr>
          <w:rStyle w:val="VerbatimChar"/>
        </w:rPr>
        <w:t xml:space="preserve">df.iloc[500:630]</w:t>
      </w:r>
      <w:r>
        <w:t xml:space="preserve">, 130 rows).</w:t>
      </w:r>
    </w:p>
    <w:p>
      <w:pPr>
        <w:pStyle w:val="Compact"/>
        <w:numPr>
          <w:ilvl w:val="0"/>
          <w:numId w:val="1001"/>
        </w:numPr>
      </w:pPr>
      <w:r>
        <w:t xml:space="preserve">Training set: all other rows (</w:t>
      </w:r>
      <w:r>
        <w:rPr>
          <w:rStyle w:val="VerbatimChar"/>
        </w:rPr>
        <w:t xml:space="preserve">pd.concat([df.iloc[:500], df.iloc[630:]])</w:t>
      </w:r>
      <w:r>
        <w:t xml:space="preserve">, 900 rows).</w:t>
      </w:r>
    </w:p>
    <w:p>
      <w:pPr>
        <w:pStyle w:val="Compact"/>
        <w:numPr>
          <w:ilvl w:val="0"/>
          <w:numId w:val="1001"/>
        </w:numPr>
      </w:pPr>
      <w:r>
        <w:t xml:space="preserve">Standardization parameters</w:t>
      </w:r>
      <w:r>
        <w:t xml:space="preserve"> </w:t>
      </w:r>
      <m:oMath>
        <m:sSub>
          <m:e>
            <m:r>
              <m:t>μ</m:t>
            </m:r>
          </m:e>
          <m:sub>
            <m:r>
              <m:t>j</m:t>
            </m:r>
          </m:sub>
        </m:sSub>
        <m:r>
          <m:rPr>
            <m:sty m:val="p"/>
          </m:rPr>
          <m:t>,</m:t>
        </m:r>
        <m:sSub>
          <m:e>
            <m:r>
              <m:t>σ</m:t>
            </m:r>
          </m:e>
          <m:sub>
            <m:r>
              <m:t>j</m:t>
            </m:r>
          </m:sub>
        </m:sSub>
      </m:oMath>
      <w:r>
        <w:t xml:space="preserve"> </w:t>
      </w:r>
      <w:r>
        <w:t xml:space="preserve">are estimated on the training rows only, as</w:t>
      </w:r>
      <w:r>
        <w:t xml:space="preserve"> </w:t>
      </w:r>
      <m:oMath>
        <m:sSub>
          <m:e>
            <m:acc>
              <m:accPr>
                <m:chr m:val="̃"/>
              </m:accPr>
              <m:e>
                <m:r>
                  <m:t>x</m:t>
                </m:r>
              </m:e>
            </m:acc>
          </m:e>
          <m:sub>
            <m:r>
              <m:t>i</m:t>
            </m:r>
            <m:r>
              <m:t>j</m:t>
            </m:r>
          </m:sub>
        </m:sSub>
        <m:r>
          <m:rPr>
            <m:sty m:val="p"/>
          </m:rPr>
          <m:t>=</m:t>
        </m:r>
        <m:r>
          <m:rPr>
            <m:sty m:val="p"/>
          </m:rPr>
          <m:t>(</m:t>
        </m:r>
        <m:sSub>
          <m:e>
            <m:r>
              <m:t>x</m:t>
            </m:r>
          </m:e>
          <m:sub>
            <m:r>
              <m:t>i</m:t>
            </m:r>
            <m:r>
              <m:t>j</m:t>
            </m:r>
          </m:sub>
        </m:sSub>
        <m:r>
          <m:rPr>
            <m:sty m:val="p"/>
          </m:rPr>
          <m:t>−</m:t>
        </m:r>
        <m:sSub>
          <m:e>
            <m:r>
              <m:t>μ</m:t>
            </m:r>
          </m:e>
          <m:sub>
            <m:r>
              <m:t>j</m:t>
            </m:r>
          </m:sub>
        </m:sSub>
        <m:r>
          <m:rPr>
            <m:sty m:val="p"/>
          </m:rPr>
          <m:t>)</m:t>
        </m:r>
        <m:r>
          <m:rPr>
            <m:sty m:val="p"/>
          </m:rPr>
          <m:t>/</m:t>
        </m:r>
        <m:sSub>
          <m:e>
            <m:r>
              <m:t>σ</m:t>
            </m:r>
          </m:e>
          <m:sub>
            <m:r>
              <m:t>j</m:t>
            </m:r>
          </m:sub>
        </m:sSub>
      </m:oMath>
      <w:r>
        <w:t xml:space="preserve">. The log transform</w:t>
      </w:r>
      <w:r>
        <w:t xml:space="preserve"> </w:t>
      </w:r>
      <m:oMath>
        <m:sSub>
          <m:e>
            <m:sSup>
              <m:e>
                <m:r>
                  <m:t>x</m:t>
                </m:r>
              </m:e>
              <m:sup>
                <m:r>
                  <m:rPr>
                    <m:sty m:val="p"/>
                  </m:rPr>
                  <m:t>′</m:t>
                </m:r>
              </m:sup>
            </m:sSup>
          </m:e>
          <m:sub>
            <m:r>
              <m:t>i</m:t>
            </m:r>
            <m:r>
              <m:t>j</m:t>
            </m:r>
          </m:sub>
        </m:sSub>
        <m:r>
          <m:rPr>
            <m:sty m:val="p"/>
          </m:rPr>
          <m:t>=</m:t>
        </m:r>
        <m:r>
          <m:rPr>
            <m:sty m:val="p"/>
          </m:rPr>
          <m:t>ln</m:t>
        </m:r>
        <m:r>
          <m:rPr>
            <m:sty m:val="p"/>
          </m:rPr>
          <m:t>(</m:t>
        </m:r>
        <m:sSub>
          <m:e>
            <m:r>
              <m:t>x</m:t>
            </m:r>
          </m:e>
          <m:sub>
            <m:r>
              <m:t>i</m:t>
            </m:r>
            <m:r>
              <m:t>j</m:t>
            </m:r>
          </m:sub>
        </m:sSub>
        <m:r>
          <m:rPr>
            <m:sty m:val="p"/>
          </m:rPr>
          <m:t>+</m:t>
        </m:r>
        <m:r>
          <m:t>1</m:t>
        </m:r>
        <m:r>
          <m:rPr>
            <m:sty m:val="p"/>
          </m:rPr>
          <m:t>)</m:t>
        </m:r>
      </m:oMath>
      <w:r>
        <w:t xml:space="preserve"> </w:t>
      </w:r>
      <w:r>
        <w:t xml:space="preserve">has no fitted parameters. Test rows never influence any parameter.</w:t>
      </w:r>
    </w:p>
    <w:p>
      <w:pPr>
        <w:pStyle w:val="FirstParagraph"/>
      </w:pPr>
      <w:r>
        <w:t xml:space="preserve">We evaluate with</w:t>
      </w:r>
      <w:r>
        <w:t xml:space="preserve"> </w:t>
      </w:r>
      <m:oMath>
        <m:r>
          <m:rPr>
            <m:sty m:val="p"/>
          </m:rPr>
          <m:t>M</m:t>
        </m:r>
        <m:r>
          <m:rPr>
            <m:sty m:val="p"/>
          </m:rPr>
          <m:t>S</m:t>
        </m:r>
        <m:r>
          <m:rPr>
            <m:sty m:val="p"/>
          </m:rPr>
          <m:t>E</m:t>
        </m:r>
        <m:r>
          <m:rPr>
            <m:sty m:val="p"/>
          </m:rPr>
          <m:t>=</m:t>
        </m:r>
        <m:f>
          <m:fPr>
            <m:type m:val="bar"/>
          </m:fPr>
          <m:num>
            <m:r>
              <m:t>1</m:t>
            </m:r>
          </m:num>
          <m:den>
            <m:r>
              <m:t>n</m:t>
            </m:r>
          </m:den>
        </m:f>
        <m:nary>
          <m:naryPr>
            <m:chr m:val="∑"/>
            <m:limLoc m:val="undOvr"/>
            <m:subHide m:val="off"/>
            <m:supHide m:val="on"/>
          </m:naryPr>
          <m:sub>
            <m:r>
              <m:t>i</m:t>
            </m:r>
          </m:sub>
          <m:sup>
            <m:r>
              <m:t>​</m:t>
            </m:r>
          </m:sup>
          <m:e>
            <m:r>
              <m:rPr>
                <m:sty m:val="p"/>
              </m:rPr>
              <m:t>(</m:t>
            </m:r>
          </m:e>
        </m:nary>
        <m:sSub>
          <m:e>
            <m:r>
              <m:t>y</m:t>
            </m:r>
          </m:e>
          <m:sub>
            <m:r>
              <m:t>i</m:t>
            </m:r>
          </m:sub>
        </m:sSub>
        <m:r>
          <m:rPr>
            <m:sty m:val="p"/>
          </m:rPr>
          <m:t>−</m:t>
        </m:r>
        <m:sSub>
          <m:e>
            <m:acc>
              <m:accPr>
                <m:chr m:val="̂"/>
              </m:accPr>
              <m:e>
                <m:r>
                  <m:t>y</m:t>
                </m:r>
              </m:e>
            </m:acc>
          </m:e>
          <m:sub>
            <m:r>
              <m:t>i</m:t>
            </m:r>
          </m:sub>
        </m:sSub>
        <m:sSup>
          <m:e>
            <m:r>
              <m:rPr>
                <m:sty m:val="p"/>
              </m:rPr>
              <m:t>)</m:t>
            </m:r>
          </m:e>
          <m:sup>
            <m:r>
              <m:t>2</m:t>
            </m:r>
          </m:sup>
        </m:sSup>
      </m:oMath>
      <w:r>
        <w:t xml:space="preserve"> </w:t>
      </w:r>
      <w:r>
        <w:t xml:space="preserve">and</w:t>
      </w:r>
      <w:r>
        <w:t xml:space="preserve"> </w:t>
      </w:r>
      <m:oMath>
        <m:sSup>
          <m:e>
            <m:r>
              <m:t>R</m:t>
            </m:r>
          </m:e>
          <m:sup>
            <m:r>
              <m:t>2</m:t>
            </m:r>
          </m:sup>
        </m:sSup>
        <m:r>
          <m:rPr>
            <m:sty m:val="p"/>
          </m:rPr>
          <m:t>=</m:t>
        </m:r>
        <m:r>
          <m:t>1</m:t>
        </m:r>
        <m:r>
          <m:rPr>
            <m:sty m:val="p"/>
          </m:rPr>
          <m:t>−</m:t>
        </m:r>
        <m:r>
          <m:rPr>
            <m:sty m:val="p"/>
          </m:rPr>
          <m:t>M</m:t>
        </m:r>
        <m:r>
          <m:rPr>
            <m:sty m:val="p"/>
          </m:rPr>
          <m:t>S</m:t>
        </m:r>
        <m:r>
          <m:rPr>
            <m:sty m:val="p"/>
          </m:rPr>
          <m:t>E</m:t>
        </m:r>
        <m:r>
          <m:rPr>
            <m:sty m:val="p"/>
          </m:rPr>
          <m:t>/</m:t>
        </m:r>
        <m:r>
          <m:rPr>
            <m:sty m:val="p"/>
          </m:rPr>
          <m:t>V</m:t>
        </m:r>
        <m:r>
          <m:rPr>
            <m:sty m:val="p"/>
          </m:rPr>
          <m:t>a</m:t>
        </m:r>
        <m:r>
          <m:rPr>
            <m:sty m:val="p"/>
          </m:rPr>
          <m:t>r</m:t>
        </m:r>
        <m:r>
          <m:rPr>
            <m:sty m:val="p"/>
          </m:rPr>
          <m:t>(</m:t>
        </m:r>
        <m:r>
          <m:t>y</m:t>
        </m:r>
        <m:r>
          <m:rPr>
            <m:sty m:val="p"/>
          </m:rPr>
          <m:t>)</m:t>
        </m:r>
      </m:oMath>
      <w:r>
        <w:t xml:space="preserve">, where</w:t>
      </w:r>
      <w:r>
        <w:t xml:space="preserve"> </w:t>
      </w:r>
      <m:oMath>
        <m:r>
          <m:rPr>
            <m:sty m:val="p"/>
          </m:rPr>
          <m:t>V</m:t>
        </m:r>
        <m:r>
          <m:rPr>
            <m:sty m:val="p"/>
          </m:rPr>
          <m:t>a</m:t>
        </m:r>
        <m:r>
          <m:rPr>
            <m:sty m:val="p"/>
          </m:rPr>
          <m:t>r</m:t>
        </m:r>
        <m:r>
          <m:rPr>
            <m:sty m:val="p"/>
          </m:rPr>
          <m:t>(</m:t>
        </m:r>
        <m:r>
          <m:t>y</m:t>
        </m:r>
        <m:r>
          <m:rPr>
            <m:sty m:val="p"/>
          </m:rPr>
          <m:t>)</m:t>
        </m:r>
      </m:oMath>
      <w:r>
        <w:t xml:space="preserve"> </w:t>
      </w:r>
      <w:r>
        <w:t xml:space="preserve">is computed on the split being scored.</w:t>
      </w:r>
    </w:p>
    <w:bookmarkEnd w:id="18"/>
    <w:bookmarkStart w:id="22" w:name="X15f5135e12ce0ea74183b47debb6982a4a3385d"/>
    <w:p>
      <w:pPr>
        <w:pStyle w:val="Heading1"/>
      </w:pPr>
      <w:r>
        <w:t xml:space="preserve">Feature Scaling &amp; Gradient Descent Dynamics</w:t>
      </w:r>
    </w:p>
    <w:p>
      <w:pPr>
        <w:pStyle w:val="FirstParagraph"/>
      </w:pPr>
      <w:r>
        <w:rPr>
          <w:b/>
          <w:bCs/>
        </w:rPr>
        <w:t xml:space="preserve">Scaling and convergence speed.</w:t>
      </w:r>
      <w:r>
        <w:t xml:space="preserve"> </w:t>
      </w:r>
      <w:r>
        <w:t xml:space="preserve">We trained the multivariate model on raw and on standardized features. Both reached a positive</w:t>
      </w:r>
      <w:r>
        <w:t xml:space="preserve"> </w:t>
      </w:r>
      <m:oMath>
        <m:sSup>
          <m:e>
            <m:r>
              <m:t>R</m:t>
            </m:r>
          </m:e>
          <m:sup>
            <m:r>
              <m:t>2</m:t>
            </m:r>
          </m:sup>
        </m:sSup>
      </m:oMath>
      <w:r>
        <w:t xml:space="preserve"> </w:t>
      </w:r>
      <w:r>
        <w:t xml:space="preserve">almost immediately, after 5 and 3 updates respectively (Table 2), and finished at training</w:t>
      </w:r>
      <w:r>
        <w:t xml:space="preserve"> </w:t>
      </w:r>
      <m:oMath>
        <m:sSup>
          <m:e>
            <m:r>
              <m:t>R</m:t>
            </m:r>
          </m:e>
          <m:sup>
            <m:r>
              <m:t>2</m:t>
            </m:r>
          </m:sup>
        </m:sSup>
      </m:oMath>
      <w:r>
        <w:t xml:space="preserve"> </w:t>
      </w:r>
      <w:r>
        <w:t xml:space="preserve">values of 0.620 and 0.624. Their behavior then diverged sharply, as Figure 1 shows. The standardized run came within 1% of the optimal loss after 79 iterations and matched it to machine precision after 1,141. After 5,000 iterations the raw run was still 1.2% above the optimal loss. More tellingly, its intercept had barely moved from zero (the optimum is</w:t>
      </w:r>
      <w:r>
        <w:t xml:space="preserve"> </w:t>
      </w:r>
      <m:oMath>
        <m:r>
          <m:rPr>
            <m:sty m:val="p"/>
          </m:rPr>
          <m:t>−</m:t>
        </m:r>
        <m:r>
          <m:t>51.43</m:t>
        </m:r>
      </m:oMath>
      <w:r>
        <w:t xml:space="preserve">): the loss was nearly converged, but the parameters were not.</w:t>
      </w:r>
    </w:p>
    <w:p>
      <w:pPr>
        <w:pStyle w:val="CaptionedFigure"/>
        <w:keepNext/>
      </w:pPr>
      <w:r>
        <w:drawing>
          <wp:inline>
            <wp:extent cx="5943600" cy="2677548"/>
            <wp:effectExtent b="0" l="0" r="0" t="0"/>
            <wp:docPr descr="Figure 1. Gradient descent on untransformed versus standardized features. (a) Training MSE on log–log axes; gray lines mark R^2 = 0 and the closed-form optimum. (b) Gap to the optimal MSE; the standardized run reaches floating-point precision." title="" id="20" name="Picture"/>
            <a:graphic>
              <a:graphicData uri="http://schemas.openxmlformats.org/drawingml/2006/picture">
                <pic:pic>
                  <pic:nvPicPr>
                    <pic:cNvPr descr="../assets/figures/convergence_scaling.png" id="21" name="Picture"/>
                    <pic:cNvPicPr>
                      <a:picLocks noChangeArrowheads="1" noChangeAspect="1"/>
                    </pic:cNvPicPr>
                  </pic:nvPicPr>
                  <pic:blipFill>
                    <a:blip r:embed="rId19"/>
                    <a:stretch>
                      <a:fillRect/>
                    </a:stretch>
                  </pic:blipFill>
                  <pic:spPr bwMode="auto">
                    <a:xfrm>
                      <a:off x="0" y="0"/>
                      <a:ext cx="5943600" cy="2677548"/>
                    </a:xfrm>
                    <a:prstGeom prst="rect">
                      <a:avLst/>
                    </a:prstGeom>
                    <a:noFill/>
                    <a:ln w="9525">
                      <a:noFill/>
                      <a:headEnd/>
                      <a:tailEnd/>
                    </a:ln>
                  </pic:spPr>
                </pic:pic>
              </a:graphicData>
            </a:graphic>
          </wp:inline>
        </w:drawing>
      </w:r>
    </w:p>
    <w:p>
      <w:pPr>
        <w:pStyle w:val="ImageCaption"/>
      </w:pPr>
      <w:r>
        <w:rPr>
          <w:b/>
          <w:bCs/>
        </w:rPr>
        <w:t xml:space="preserve">Figure 1.</w:t>
      </w:r>
      <w:r>
        <w:t xml:space="preserve"> </w:t>
      </w:r>
      <w:r>
        <w:t xml:space="preserve">Gradient descent on untransformed versus standardized features. (a) Training MSE on log–log axes; gray lines mark</w:t>
      </w:r>
      <w:r>
        <w:t xml:space="preserve"> </w:t>
      </w:r>
      <m:oMath>
        <m:sSup>
          <m:e>
            <m:r>
              <m:t>R</m:t>
            </m:r>
          </m:e>
          <m:sup>
            <m:r>
              <m:t>2</m:t>
            </m:r>
          </m:sup>
        </m:sSup>
        <m:r>
          <m:rPr>
            <m:sty m:val="p"/>
          </m:rPr>
          <m:t>=</m:t>
        </m:r>
        <m:r>
          <m:t>0</m:t>
        </m:r>
      </m:oMath>
      <w:r>
        <w:t xml:space="preserve"> </w:t>
      </w:r>
      <w:r>
        <w:t xml:space="preserve">and the closed-form optimum. (b) Gap to the optimal MSE; the standardized run reaches floating-point precision.</w:t>
      </w:r>
    </w:p>
    <w:p>
      <w:pPr>
        <w:pStyle w:val="TableCaption"/>
      </w:pPr>
      <w:r>
        <w:rPr>
          <w:b/>
          <w:bCs/>
        </w:rPr>
        <w:t xml:space="preserve">Table 2.</w:t>
      </w:r>
      <w:r>
        <w:t xml:space="preserve"> </w:t>
      </w:r>
      <w:r>
        <w:t xml:space="preserve">Gradient descent fits after 5,000 iterations, scored with MSE and</w:t>
      </w:r>
      <w:r>
        <w:t xml:space="preserve"> </w:t>
      </w:r>
      <m:oMath>
        <m:sSup>
          <m:e>
            <m:r>
              <m:t>R</m:t>
            </m:r>
          </m:e>
          <m:sup>
            <m:r>
              <m:t>2</m:t>
            </m:r>
          </m:sup>
        </m:sSup>
      </m:oMath>
      <w:r>
        <w:t xml:space="preserve"> </w:t>
      </w:r>
      <w:r>
        <w:t xml:space="preserve">on both splits. Table 4 gives the closed-form optima for comparison.</w:t>
      </w:r>
    </w:p>
    <w:tbl>
      <w:tblPr>
        <w:tblStyle w:val="Table"/>
        <w:tblW w:type="dxa" w:w="8881"/>
        <w:jc w:val="center"/>
        <w:tblBorders>
          <w:top w:val="single" w:sz="8" w:space="0" w:color="1F3A5F"/>
          <w:left w:val="nil"/>
          <w:bottom w:val="single" w:sz="8" w:space="0" w:color="1F3A5F"/>
          <w:right w:val="nil"/>
          <w:insideH w:val="single" w:sz="2" w:space="0" w:color="D0D0D0"/>
          <w:insideV w:val="nil"/>
        </w:tblBorders>
        <w:tblLayout w:type="fixed"/>
        <w:tblCellMar>
          <w:top w:w="30" w:type="dxa"/>
          <w:left w:w="80" w:type="dxa"/>
          <w:bottom w:w="30" w:type="dxa"/>
          <w:right w:w="80" w:type="dxa"/>
        </w:tblCellMar>
        <w:tblLook w:firstRow="1" w:lastRow="0" w:firstColumn="0" w:lastColumn="0" w:noHBand="0" w:noVBand="0" w:val="0020"/>
        <w:tblCaption w:val="Table 2. Gradient descent fits after 5,000 iterations, scored with MSE and R^2 on both splits. Table 4 gives the closed-form optima for comparison."/>
      </w:tblPr>
      <w:tblGrid>
        <w:gridCol w:w="2156"/>
        <w:gridCol w:w="1100"/>
        <w:gridCol w:w="2017"/>
        <w:gridCol w:w="968"/>
        <w:gridCol w:w="836"/>
        <w:gridCol w:w="968"/>
        <w:gridCol w:w="836"/>
      </w:tblGrid>
      <w:tr>
        <w:trPr>
          <w:cantSplit/>
          <w:tblHeader w:val="on"/>
        </w:trPr>
        <w:tc>
          <w:tcPr>
            <w:tcW w:w="2156" w:type="dxa"/>
            <w:tcBorders>
              <w:bottom w:val="single" w:sz="6" w:space="0" w:color="1F3A5F"/>
            </w:tcBorders>
            <w:shd w:val="clear" w:color="auto" w:fill="E9EEF5"/>
            <w:vAlign w:val="bottom"/>
          </w:tcPr>
          <w:p>
            <w:pPr>
              <w:pStyle w:val="Compact"/>
              <w:keepNext/>
              <w:spacing w:before="0" w:after="0" w:line="276" w:lineRule="auto"/>
              <w:jc w:val="left"/>
            </w:pPr>
            <w:r>
              <w:rPr>
                <w:b/>
                <w:sz w:val="22"/>
              </w:rPr>
              <w:t xml:space="preserve">Configuration</w:t>
            </w:r>
          </w:p>
        </w:tc>
        <w:tc>
          <w:tcPr>
            <w:tcW w:w="1100" w:type="dxa"/>
            <w:tcBorders>
              <w:bottom w:val="single" w:sz="6" w:space="0" w:color="1F3A5F"/>
            </w:tcBorders>
            <w:shd w:val="clear" w:color="auto" w:fill="E9EEF5"/>
            <w:vAlign w:val="bottom"/>
          </w:tcPr>
          <w:p>
            <w:pPr>
              <w:pStyle w:val="Compact"/>
              <w:keepNext/>
              <w:spacing w:before="0" w:after="0" w:line="276" w:lineRule="auto"/>
              <w:jc w:val="right"/>
            </w:pPr>
            <w:r>
              <w:rPr>
                <w:b/>
                <w:sz w:val="22"/>
              </w:rPr>
              <w:t xml:space="preserve">Updates to</w:t>
            </w:r>
            <w:r>
              <w:rPr>
                <w:b/>
                <w:sz w:val="22"/>
              </w:rPr>
              <w:t xml:space="preserve"> </w:t>
            </w:r>
            <m:oMath>
              <m:sSup>
                <m:e>
                  <m:r>
                    <w:rPr>
                      <w:sz w:val="22"/>
                      <w:szCs w:val="22"/>
                    </w:rPr>
                    <m:t>R</m:t>
                  </m:r>
                </m:e>
                <m:sup>
                  <m:r>
                    <w:rPr>
                      <w:sz w:val="22"/>
                      <w:szCs w:val="22"/>
                    </w:rPr>
                    <m:t>2</m:t>
                  </m:r>
                </m:sup>
              </m:sSup>
              <m:r>
                <m:rPr>
                  <m:sty m:val="p"/>
                </m:rPr>
                <w:rPr>
                  <w:sz w:val="22"/>
                  <w:szCs w:val="22"/>
                </w:rPr>
                <m:t>&gt;</m:t>
              </m:r>
              <m:r>
                <w:rPr>
                  <w:sz w:val="22"/>
                  <w:szCs w:val="22"/>
                </w:rPr>
                <m:t>0</m:t>
              </m:r>
            </m:oMath>
          </w:p>
        </w:tc>
        <w:tc>
          <w:tcPr>
            <w:tcW w:w="2017" w:type="dxa"/>
            <w:tcBorders>
              <w:bottom w:val="single" w:sz="6" w:space="0" w:color="1F3A5F"/>
            </w:tcBorders>
            <w:shd w:val="clear" w:color="auto" w:fill="E9EEF5"/>
            <w:vAlign w:val="bottom"/>
          </w:tcPr>
          <w:p>
            <w:pPr>
              <w:pStyle w:val="Compact"/>
              <w:keepNext/>
              <w:spacing w:before="0" w:after="0" w:line="276" w:lineRule="auto"/>
              <w:jc w:val="right"/>
            </w:pPr>
            <w:r>
              <w:rPr>
                <w:b/>
                <w:sz w:val="22"/>
              </w:rPr>
              <w:t xml:space="preserve">Updates to within 1% of optimum</w:t>
            </w:r>
          </w:p>
        </w:tc>
        <w:tc>
          <w:tcPr>
            <w:tcW w:w="968" w:type="dxa"/>
            <w:tcBorders>
              <w:bottom w:val="single" w:sz="6" w:space="0" w:color="1F3A5F"/>
            </w:tcBorders>
            <w:shd w:val="clear" w:color="auto" w:fill="E9EEF5"/>
            <w:vAlign w:val="bottom"/>
          </w:tcPr>
          <w:p>
            <w:pPr>
              <w:pStyle w:val="Compact"/>
              <w:keepNext/>
              <w:spacing w:before="0" w:after="0" w:line="276" w:lineRule="auto"/>
              <w:jc w:val="right"/>
            </w:pPr>
            <w:r>
              <w:rPr>
                <w:b/>
                <w:sz w:val="22"/>
              </w:rPr>
              <w:t xml:space="preserve">Train MSE</w:t>
            </w:r>
          </w:p>
        </w:tc>
        <w:tc>
          <w:tcPr>
            <w:tcW w:w="836" w:type="dxa"/>
            <w:tcBorders>
              <w:bottom w:val="single" w:sz="6" w:space="0" w:color="1F3A5F"/>
            </w:tcBorders>
            <w:shd w:val="clear" w:color="auto" w:fill="E9EEF5"/>
            <w:vAlign w:val="bottom"/>
          </w:tcPr>
          <w:p>
            <w:pPr>
              <w:pStyle w:val="Compact"/>
              <w:keepNext/>
              <w:spacing w:before="0" w:after="0" w:line="276" w:lineRule="auto"/>
              <w:jc w:val="right"/>
            </w:pPr>
            <w:r>
              <w:rPr>
                <w:b/>
                <w:sz w:val="22"/>
              </w:rPr>
              <w:t xml:space="preserve">Train</w:t>
            </w:r>
            <w:r>
              <w:rPr>
                <w:b/>
                <w:sz w:val="22"/>
              </w:rPr>
              <w:t xml:space="preserve"> </w:t>
            </w:r>
            <m:oMath>
              <m:sSup>
                <m:e>
                  <m:r>
                    <w:rPr>
                      <w:sz w:val="22"/>
                      <w:szCs w:val="22"/>
                    </w:rPr>
                    <m:t>R</m:t>
                  </m:r>
                </m:e>
                <m:sup>
                  <m:r>
                    <w:rPr>
                      <w:sz w:val="22"/>
                      <w:szCs w:val="22"/>
                    </w:rPr>
                    <m:t>2</m:t>
                  </m:r>
                </m:sup>
              </m:sSup>
            </m:oMath>
          </w:p>
        </w:tc>
        <w:tc>
          <w:tcPr>
            <w:tcW w:w="968" w:type="dxa"/>
            <w:tcBorders>
              <w:bottom w:val="single" w:sz="6" w:space="0" w:color="1F3A5F"/>
            </w:tcBorders>
            <w:shd w:val="clear" w:color="auto" w:fill="E9EEF5"/>
            <w:vAlign w:val="bottom"/>
          </w:tcPr>
          <w:p>
            <w:pPr>
              <w:pStyle w:val="Compact"/>
              <w:keepNext/>
              <w:spacing w:before="0" w:after="0" w:line="276" w:lineRule="auto"/>
              <w:jc w:val="right"/>
            </w:pPr>
            <w:r>
              <w:rPr>
                <w:b/>
                <w:sz w:val="22"/>
              </w:rPr>
              <w:t xml:space="preserve">Test MSE</w:t>
            </w:r>
          </w:p>
        </w:tc>
        <w:tc>
          <w:tcPr>
            <w:tcW w:w="836" w:type="dxa"/>
            <w:tcBorders>
              <w:bottom w:val="single" w:sz="6" w:space="0" w:color="1F3A5F"/>
            </w:tcBorders>
            <w:shd w:val="clear" w:color="auto" w:fill="E9EEF5"/>
            <w:vAlign w:val="bottom"/>
          </w:tcPr>
          <w:p>
            <w:pPr>
              <w:pStyle w:val="Compact"/>
              <w:keepNext/>
              <w:spacing w:before="0" w:after="0" w:line="276" w:lineRule="auto"/>
              <w:jc w:val="right"/>
            </w:pPr>
            <w:r>
              <w:rPr>
                <w:b/>
                <w:sz w:val="22"/>
              </w:rPr>
              <w:t xml:space="preserve">Test</w:t>
            </w:r>
            <w:r>
              <w:rPr>
                <w:b/>
                <w:sz w:val="22"/>
              </w:rPr>
              <w:t xml:space="preserve"> </w:t>
            </w:r>
            <m:oMath>
              <m:sSup>
                <m:e>
                  <m:r>
                    <w:rPr>
                      <w:sz w:val="22"/>
                      <w:szCs w:val="22"/>
                    </w:rPr>
                    <m:t>R</m:t>
                  </m:r>
                </m:e>
                <m:sup>
                  <m:r>
                    <w:rPr>
                      <w:sz w:val="22"/>
                      <w:szCs w:val="22"/>
                    </w:rPr>
                    <m:t>2</m:t>
                  </m:r>
                </m:sup>
              </m:sSup>
            </m:oMath>
          </w:p>
        </w:tc>
      </w:tr>
      <w:tr>
        <w:trPr>
          <w:cantSplit/>
        </w:trPr>
        <w:tc>
          <w:tcPr>
            <w:tcW w:w="2156" w:type="dxa"/>
          </w:tcPr>
          <w:p>
            <w:pPr>
              <w:pStyle w:val="Compact"/>
              <w:keepNext/>
              <w:spacing w:before="0" w:after="0" w:line="276" w:lineRule="auto"/>
              <w:jc w:val="left"/>
            </w:pPr>
            <w:r>
              <w:rPr>
                <w:sz w:val="22"/>
              </w:rPr>
              <w:t xml:space="preserve">Untransformed</w:t>
            </w:r>
          </w:p>
        </w:tc>
        <w:tc>
          <w:tcPr>
            <w:tcW w:w="1100" w:type="dxa"/>
          </w:tcPr>
          <w:p>
            <w:pPr>
              <w:pStyle w:val="Compact"/>
              <w:keepNext/>
              <w:spacing w:before="0" w:after="0" w:line="276" w:lineRule="auto"/>
              <w:jc w:val="right"/>
            </w:pPr>
            <w:r>
              <w:rPr>
                <w:sz w:val="22"/>
              </w:rPr>
              <w:t xml:space="preserve">5</w:t>
            </w:r>
          </w:p>
        </w:tc>
        <w:tc>
          <w:tcPr>
            <w:tcW w:w="2017" w:type="dxa"/>
          </w:tcPr>
          <w:p>
            <w:pPr>
              <w:pStyle w:val="Compact"/>
              <w:keepNext/>
              <w:spacing w:before="0" w:after="0" w:line="276" w:lineRule="auto"/>
              <w:jc w:val="right"/>
            </w:pPr>
            <w:r>
              <w:rPr>
                <w:sz w:val="22"/>
              </w:rPr>
              <w:t xml:space="preserve">not reached</w:t>
            </w:r>
          </w:p>
        </w:tc>
        <w:tc>
          <w:tcPr>
            <w:tcW w:w="968" w:type="dxa"/>
          </w:tcPr>
          <w:p>
            <w:pPr>
              <w:pStyle w:val="Compact"/>
              <w:keepNext/>
              <w:spacing w:before="0" w:after="0" w:line="276" w:lineRule="auto"/>
              <w:jc w:val="right"/>
            </w:pPr>
            <w:r>
              <w:rPr>
                <w:sz w:val="22"/>
              </w:rPr>
              <w:t xml:space="preserve">105.37</w:t>
            </w:r>
          </w:p>
        </w:tc>
        <w:tc>
          <w:tcPr>
            <w:tcW w:w="836" w:type="dxa"/>
          </w:tcPr>
          <w:p>
            <w:pPr>
              <w:pStyle w:val="Compact"/>
              <w:keepNext/>
              <w:spacing w:before="0" w:after="0" w:line="276" w:lineRule="auto"/>
              <w:jc w:val="right"/>
            </w:pPr>
            <w:r>
              <w:rPr>
                <w:sz w:val="22"/>
              </w:rPr>
              <w:t xml:space="preserve">0.620</w:t>
            </w:r>
          </w:p>
        </w:tc>
        <w:tc>
          <w:tcPr>
            <w:tcW w:w="968" w:type="dxa"/>
          </w:tcPr>
          <w:p>
            <w:pPr>
              <w:pStyle w:val="Compact"/>
              <w:keepNext/>
              <w:spacing w:before="0" w:after="0" w:line="276" w:lineRule="auto"/>
              <w:jc w:val="right"/>
            </w:pPr>
            <w:r>
              <w:rPr>
                <w:sz w:val="22"/>
              </w:rPr>
              <w:t xml:space="preserve">139.93</w:t>
            </w:r>
          </w:p>
        </w:tc>
        <w:tc>
          <w:tcPr>
            <w:tcW w:w="836" w:type="dxa"/>
          </w:tcPr>
          <w:p>
            <w:pPr>
              <w:pStyle w:val="Compact"/>
              <w:keepNext/>
              <w:spacing w:before="0" w:after="0" w:line="276" w:lineRule="auto"/>
              <w:jc w:val="right"/>
            </w:pPr>
            <w:r>
              <w:rPr>
                <w:sz w:val="22"/>
              </w:rPr>
              <w:t xml:space="preserve">0.375</w:t>
            </w:r>
          </w:p>
        </w:tc>
      </w:tr>
      <w:tr>
        <w:trPr>
          <w:cantSplit/>
        </w:trPr>
        <w:tc>
          <w:tcPr>
            <w:tcW w:w="2156" w:type="dxa"/>
          </w:tcPr>
          <w:p>
            <w:pPr>
              <w:pStyle w:val="Compact"/>
              <w:keepNext/>
              <w:spacing w:before="0" w:after="0" w:line="276" w:lineRule="auto"/>
              <w:jc w:val="left"/>
            </w:pPr>
            <w:r>
              <w:rPr>
                <w:sz w:val="22"/>
              </w:rPr>
              <w:t xml:space="preserve">Standardized</w:t>
            </w:r>
          </w:p>
        </w:tc>
        <w:tc>
          <w:tcPr>
            <w:tcW w:w="1100" w:type="dxa"/>
          </w:tcPr>
          <w:p>
            <w:pPr>
              <w:pStyle w:val="Compact"/>
              <w:keepNext/>
              <w:spacing w:before="0" w:after="0" w:line="276" w:lineRule="auto"/>
              <w:jc w:val="right"/>
            </w:pPr>
            <w:r>
              <w:rPr>
                <w:sz w:val="22"/>
              </w:rPr>
              <w:t xml:space="preserve">3</w:t>
            </w:r>
          </w:p>
        </w:tc>
        <w:tc>
          <w:tcPr>
            <w:tcW w:w="2017" w:type="dxa"/>
          </w:tcPr>
          <w:p>
            <w:pPr>
              <w:pStyle w:val="Compact"/>
              <w:keepNext/>
              <w:spacing w:before="0" w:after="0" w:line="276" w:lineRule="auto"/>
              <w:jc w:val="right"/>
            </w:pPr>
            <w:r>
              <w:rPr>
                <w:sz w:val="22"/>
              </w:rPr>
              <w:t xml:space="preserve">79</w:t>
            </w:r>
          </w:p>
        </w:tc>
        <w:tc>
          <w:tcPr>
            <w:tcW w:w="968" w:type="dxa"/>
          </w:tcPr>
          <w:p>
            <w:pPr>
              <w:pStyle w:val="Compact"/>
              <w:keepNext/>
              <w:spacing w:before="0" w:after="0" w:line="276" w:lineRule="auto"/>
              <w:jc w:val="right"/>
            </w:pPr>
            <w:r>
              <w:rPr>
                <w:sz w:val="22"/>
              </w:rPr>
              <w:t xml:space="preserve">104.14</w:t>
            </w:r>
          </w:p>
        </w:tc>
        <w:tc>
          <w:tcPr>
            <w:tcW w:w="836" w:type="dxa"/>
          </w:tcPr>
          <w:p>
            <w:pPr>
              <w:pStyle w:val="Compact"/>
              <w:keepNext/>
              <w:spacing w:before="0" w:after="0" w:line="276" w:lineRule="auto"/>
              <w:jc w:val="right"/>
            </w:pPr>
            <w:r>
              <w:rPr>
                <w:sz w:val="22"/>
              </w:rPr>
              <w:t xml:space="preserve">0.624</w:t>
            </w:r>
          </w:p>
        </w:tc>
        <w:tc>
          <w:tcPr>
            <w:tcW w:w="968" w:type="dxa"/>
          </w:tcPr>
          <w:p>
            <w:pPr>
              <w:pStyle w:val="Compact"/>
              <w:keepNext/>
              <w:spacing w:before="0" w:after="0" w:line="276" w:lineRule="auto"/>
              <w:jc w:val="right"/>
            </w:pPr>
            <w:r>
              <w:rPr>
                <w:sz w:val="22"/>
              </w:rPr>
              <w:t xml:space="preserve">141.31</w:t>
            </w:r>
          </w:p>
        </w:tc>
        <w:tc>
          <w:tcPr>
            <w:tcW w:w="836" w:type="dxa"/>
          </w:tcPr>
          <w:p>
            <w:pPr>
              <w:pStyle w:val="Compact"/>
              <w:keepNext/>
              <w:spacing w:before="0" w:after="0" w:line="276" w:lineRule="auto"/>
              <w:jc w:val="right"/>
            </w:pPr>
            <w:r>
              <w:rPr>
                <w:sz w:val="22"/>
              </w:rPr>
              <w:t xml:space="preserve">0.368</w:t>
            </w:r>
          </w:p>
        </w:tc>
      </w:tr>
      <w:tr>
        <w:trPr>
          <w:cantSplit/>
        </w:trPr>
        <w:tc>
          <w:tcPr>
            <w:tcW w:w="2156" w:type="dxa"/>
          </w:tcPr>
          <w:p>
            <w:pPr>
              <w:pStyle w:val="Compact"/>
              <w:spacing w:before="0" w:after="0" w:line="276" w:lineRule="auto"/>
              <w:jc w:val="left"/>
            </w:pPr>
            <w:r>
              <w:rPr>
                <w:sz w:val="22"/>
              </w:rPr>
              <w:t xml:space="preserve">Log-transformed</w:t>
            </w:r>
          </w:p>
        </w:tc>
        <w:tc>
          <w:tcPr>
            <w:tcW w:w="1100" w:type="dxa"/>
          </w:tcPr>
          <w:p>
            <w:pPr>
              <w:pStyle w:val="Compact"/>
              <w:spacing w:before="0" w:after="0" w:line="276" w:lineRule="auto"/>
              <w:jc w:val="right"/>
            </w:pPr>
            <w:r>
              <w:rPr>
                <w:sz w:val="22"/>
              </w:rPr>
              <w:t xml:space="preserve">7</w:t>
            </w:r>
          </w:p>
        </w:tc>
        <w:tc>
          <w:tcPr>
            <w:tcW w:w="2017" w:type="dxa"/>
          </w:tcPr>
          <w:p>
            <w:pPr>
              <w:pStyle w:val="Compact"/>
              <w:spacing w:before="0" w:after="0" w:line="276" w:lineRule="auto"/>
              <w:jc w:val="right"/>
            </w:pPr>
            <w:r>
              <w:rPr>
                <w:sz w:val="22"/>
              </w:rPr>
              <w:t xml:space="preserve">not reached</w:t>
            </w:r>
          </w:p>
        </w:tc>
        <w:tc>
          <w:tcPr>
            <w:tcW w:w="968" w:type="dxa"/>
          </w:tcPr>
          <w:p>
            <w:pPr>
              <w:pStyle w:val="Compact"/>
              <w:spacing w:before="0" w:after="0" w:line="276" w:lineRule="auto"/>
              <w:jc w:val="right"/>
            </w:pPr>
            <w:r>
              <w:rPr>
                <w:sz w:val="22"/>
              </w:rPr>
              <w:t xml:space="preserve">60.40</w:t>
            </w:r>
          </w:p>
        </w:tc>
        <w:tc>
          <w:tcPr>
            <w:tcW w:w="836" w:type="dxa"/>
          </w:tcPr>
          <w:p>
            <w:pPr>
              <w:pStyle w:val="Compact"/>
              <w:spacing w:before="0" w:after="0" w:line="276" w:lineRule="auto"/>
              <w:jc w:val="right"/>
            </w:pPr>
            <w:r>
              <w:rPr>
                <w:sz w:val="22"/>
              </w:rPr>
              <w:t xml:space="preserve">0.782</w:t>
            </w:r>
          </w:p>
        </w:tc>
        <w:tc>
          <w:tcPr>
            <w:tcW w:w="968" w:type="dxa"/>
          </w:tcPr>
          <w:p>
            <w:pPr>
              <w:pStyle w:val="Compact"/>
              <w:spacing w:before="0" w:after="0" w:line="276" w:lineRule="auto"/>
              <w:jc w:val="right"/>
            </w:pPr>
            <w:r>
              <w:rPr>
                <w:sz w:val="22"/>
              </w:rPr>
              <w:t xml:space="preserve">48.63</w:t>
            </w:r>
          </w:p>
        </w:tc>
        <w:tc>
          <w:tcPr>
            <w:tcW w:w="836" w:type="dxa"/>
          </w:tcPr>
          <w:p>
            <w:pPr>
              <w:pStyle w:val="Compact"/>
              <w:spacing w:before="0" w:after="0" w:line="276" w:lineRule="auto"/>
              <w:jc w:val="right"/>
            </w:pPr>
            <w:r>
              <w:rPr>
                <w:sz w:val="22"/>
              </w:rPr>
              <w:t xml:space="preserve">0.783</w:t>
            </w:r>
          </w:p>
        </w:tc>
      </w:tr>
    </w:tbl>
    <w:p>
      <w:pPr>
        <w:pStyle w:val="BodyText"/>
        <w:spacing w:before="200"/>
      </w:pPr>
      <w:r>
        <w:t xml:space="preserve">The cause is conditioning. Raw predictors differ in scale by two orders of magnitude (superplasticizer averages 6.9 kg/m³, coarse aggregate 974 kg/m³), and their large uncentered means make them nearly collinear with the intercept column. The result is</w:t>
      </w:r>
      <w:r>
        <w:t xml:space="preserve"> </w:t>
      </w:r>
      <m:oMath>
        <m:r>
          <m:t>κ</m:t>
        </m:r>
        <m:r>
          <m:rPr>
            <m:sty m:val="p"/>
          </m:rPr>
          <m:t>=</m:t>
        </m:r>
        <m:r>
          <m:t>1.18</m:t>
        </m:r>
        <m:r>
          <m:rPr>
            <m:sty m:val="p"/>
          </m:rPr>
          <m:t>×</m:t>
        </m:r>
        <m:sSup>
          <m:e>
            <m:r>
              <m:t>10</m:t>
            </m:r>
          </m:e>
          <m:sup>
            <m:r>
              <m:t>10</m:t>
            </m:r>
          </m:sup>
        </m:sSup>
      </m:oMath>
      <w:r>
        <w:t xml:space="preserve">. The largest eigenvalue caps the step at</w:t>
      </w:r>
      <w:r>
        <w:t xml:space="preserve"> </w:t>
      </w:r>
      <m:oMath>
        <m:r>
          <m:t>α</m:t>
        </m:r>
        <m:r>
          <m:rPr>
            <m:sty m:val="p"/>
          </m:rPr>
          <m:t>&lt;</m:t>
        </m:r>
        <m:r>
          <m:t>5.99</m:t>
        </m:r>
        <m:r>
          <m:rPr>
            <m:sty m:val="p"/>
          </m:rPr>
          <m:t>×</m:t>
        </m:r>
        <m:sSup>
          <m:e>
            <m:r>
              <m:t>10</m:t>
            </m:r>
          </m:e>
          <m:sup>
            <m:r>
              <m:rPr>
                <m:sty m:val="p"/>
              </m:rPr>
              <m:t>−</m:t>
            </m:r>
            <m:r>
              <m:t>7</m:t>
            </m:r>
          </m:sup>
        </m:sSup>
      </m:oMath>
      <w:r>
        <w:t xml:space="preserve">. At that step, the smallest-eigenvalue direction (almost exactly the intercept) contracts by a factor of only</w:t>
      </w:r>
      <w:r>
        <w:t xml:space="preserve"> </w:t>
      </w:r>
      <m:oMath>
        <m:r>
          <m:t>1</m:t>
        </m:r>
        <m:r>
          <m:rPr>
            <m:sty m:val="p"/>
          </m:rPr>
          <m:t>−</m:t>
        </m:r>
        <m:r>
          <m:t>8.5</m:t>
        </m:r>
        <m:r>
          <m:rPr>
            <m:sty m:val="p"/>
          </m:rPr>
          <m:t>×</m:t>
        </m:r>
        <m:sSup>
          <m:e>
            <m:r>
              <m:t>10</m:t>
            </m:r>
          </m:e>
          <m:sup>
            <m:r>
              <m:rPr>
                <m:sty m:val="p"/>
              </m:rPr>
              <m:t>−</m:t>
            </m:r>
            <m:r>
              <m:t>11</m:t>
            </m:r>
          </m:sup>
        </m:sSup>
      </m:oMath>
      <w:r>
        <w:t xml:space="preserve"> </w:t>
      </w:r>
      <w:r>
        <w:t xml:space="preserve">per iteration. Standardizing centers each column and equalizes the scales, bringing</w:t>
      </w:r>
      <w:r>
        <w:t xml:space="preserve"> </w:t>
      </w:r>
      <m:oMath>
        <m:r>
          <m:t>κ</m:t>
        </m:r>
      </m:oMath>
      <w:r>
        <w:t xml:space="preserve"> </w:t>
      </w:r>
      <w:r>
        <w:t xml:space="preserve">down to 86.8 and allowing a step roughly</w:t>
      </w:r>
      <w:r>
        <w:t xml:space="preserve"> </w:t>
      </w:r>
      <m:oMath>
        <m:sSup>
          <m:e>
            <m:r>
              <m:t>10</m:t>
            </m:r>
          </m:e>
          <m:sup>
            <m:r>
              <m:t>6</m:t>
            </m:r>
          </m:sup>
        </m:sSup>
      </m:oMath>
      <w:r>
        <w:t xml:space="preserve"> </w:t>
      </w:r>
      <w:r>
        <w:t xml:space="preserve">times larger.</w:t>
      </w:r>
    </w:p>
    <w:p>
      <w:pPr>
        <w:pStyle w:val="BodyText"/>
      </w:pPr>
      <w:r>
        <w:t xml:space="preserve">Stability follows the same bound. In a sweep at</w:t>
      </w:r>
      <w:r>
        <w:t xml:space="preserve"> </w:t>
      </w:r>
      <m:oMath>
        <m:r>
          <m:t>0.5</m:t>
        </m:r>
      </m:oMath>
      <w:r>
        <w:t xml:space="preserve">,</w:t>
      </w:r>
      <w:r>
        <w:t xml:space="preserve"> </w:t>
      </w:r>
      <m:oMath>
        <m:r>
          <m:t>0.9</m:t>
        </m:r>
      </m:oMath>
      <w:r>
        <w:t xml:space="preserve">,</w:t>
      </w:r>
      <w:r>
        <w:t xml:space="preserve"> </w:t>
      </w:r>
      <m:oMath>
        <m:r>
          <m:t>0.99</m:t>
        </m:r>
      </m:oMath>
      <w:r>
        <w:t xml:space="preserve">,</w:t>
      </w:r>
      <w:r>
        <w:t xml:space="preserve"> </w:t>
      </w:r>
      <m:oMath>
        <m:r>
          <m:t>1.01</m:t>
        </m:r>
      </m:oMath>
      <w:r>
        <w:t xml:space="preserve"> </w:t>
      </w:r>
      <w:r>
        <w:t xml:space="preserve">and</w:t>
      </w:r>
      <w:r>
        <w:t xml:space="preserve"> </w:t>
      </w:r>
      <m:oMath>
        <m:r>
          <m:t>1.1</m:t>
        </m:r>
      </m:oMath>
      <w:r>
        <w:t xml:space="preserve"> </w:t>
      </w:r>
      <w:r>
        <w:t xml:space="preserve">times</w:t>
      </w:r>
      <w:r>
        <w:t xml:space="preserve"> </w:t>
      </w:r>
      <m:oMath>
        <m:r>
          <m:t>2</m:t>
        </m:r>
        <m:r>
          <m:rPr>
            <m:sty m:val="p"/>
          </m:rPr>
          <m:t>/</m:t>
        </m:r>
        <m:sSub>
          <m:e>
            <m:r>
              <m:t>λ</m:t>
            </m:r>
          </m:e>
          <m:sub>
            <m:r>
              <m:rPr>
                <m:sty m:val="p"/>
              </m:rPr>
              <m:t>max</m:t>
            </m:r>
          </m:sub>
        </m:sSub>
      </m:oMath>
      <w:r>
        <w:t xml:space="preserve">, every feature set converged at</w:t>
      </w:r>
      <w:r>
        <w:t xml:space="preserve"> </w:t>
      </w:r>
      <m:oMath>
        <m:r>
          <m:t>0.99</m:t>
        </m:r>
        <m:r>
          <m:rPr>
            <m:sty m:val="p"/>
          </m:rPr>
          <m:t>×</m:t>
        </m:r>
      </m:oMath>
      <w:r>
        <w:t xml:space="preserve"> </w:t>
      </w:r>
      <w:r>
        <w:t xml:space="preserve">and diverged at</w:t>
      </w:r>
      <w:r>
        <w:t xml:space="preserve"> </w:t>
      </w:r>
      <m:oMath>
        <m:r>
          <m:t>1.01</m:t>
        </m:r>
        <m:r>
          <m:rPr>
            <m:sty m:val="p"/>
          </m:rPr>
          <m:t>×</m:t>
        </m:r>
      </m:oMath>
      <w:r>
        <w:t xml:space="preserve">, where the training MSE overflowed past</w:t>
      </w:r>
      <w:r>
        <w:t xml:space="preserve"> </w:t>
      </w:r>
      <m:oMath>
        <m:sSup>
          <m:e>
            <m:r>
              <m:t>10</m:t>
            </m:r>
          </m:e>
          <m:sup>
            <m:r>
              <m:t>85</m:t>
            </m:r>
          </m:sup>
        </m:sSup>
      </m:oMath>
      <w:r>
        <w:t xml:space="preserve">. Scaling therefore does not make gradient descent stable on its own. It makes the stable region wide enough that a reasonable step converges quickly.</w:t>
      </w:r>
    </w:p>
    <w:p>
      <w:pPr>
        <w:pStyle w:val="BodyText"/>
      </w:pPr>
      <w:r>
        <w:rPr>
          <w:b/>
          <w:bCs/>
        </w:rPr>
        <w:t xml:space="preserve">Scaling and the optimal solution.</w:t>
      </w:r>
      <w:r>
        <w:t xml:space="preserve"> </w:t>
      </w:r>
      <w:r>
        <w:t xml:space="preserve">We fit both feature sets with scikit-learn’s closed-form</w:t>
      </w:r>
      <w:r>
        <w:t xml:space="preserve"> </w:t>
      </w:r>
      <w:r>
        <w:rPr>
          <w:rStyle w:val="VerbatimChar"/>
        </w:rPr>
        <w:t xml:space="preserve">LinearRegression</w:t>
      </w:r>
      <w:r>
        <w:t xml:space="preserve">. The coefficients differ (Table 3), but dividing each standardized weight by its feature’s training standard deviation recovers the untransformed weight exactly. The two models’ test predictions agree to within</w:t>
      </w:r>
      <w:r>
        <w:t xml:space="preserve"> </w:t>
      </w:r>
      <m:oMath>
        <m:sSup>
          <m:e>
            <m:r>
              <m:t>10</m:t>
            </m:r>
          </m:e>
          <m:sup>
            <m:r>
              <m:rPr>
                <m:sty m:val="p"/>
              </m:rPr>
              <m:t>−</m:t>
            </m:r>
            <m:r>
              <m:t>13</m:t>
            </m:r>
          </m:sup>
        </m:sSup>
      </m:oMath>
      <w:r>
        <w:t xml:space="preserve"> </w:t>
      </w:r>
      <w:r>
        <w:t xml:space="preserve">MPa, and their MSE and</w:t>
      </w:r>
      <w:r>
        <w:t xml:space="preserve"> </w:t>
      </w:r>
      <m:oMath>
        <m:sSup>
          <m:e>
            <m:r>
              <m:t>R</m:t>
            </m:r>
          </m:e>
          <m:sup>
            <m:r>
              <m:t>2</m:t>
            </m:r>
          </m:sup>
        </m:sSup>
      </m:oMath>
      <w:r>
        <w:t xml:space="preserve"> </w:t>
      </w:r>
      <w:r>
        <w:t xml:space="preserve">are identical (Table 4). A linear transformation only reparameterizes the same fitted function:</w:t>
      </w:r>
    </w:p>
    <w:p>
      <w:pPr>
        <w:pStyle w:val="BodyText"/>
      </w:pPr>
      <m:oMathPara>
        <m:oMathParaPr>
          <m:jc m:val="center"/>
        </m:oMathParaPr>
        <m:oMath>
          <m:acc>
            <m:accPr>
              <m:chr m:val="̂"/>
            </m:accPr>
            <m:e>
              <m:r>
                <m:t>y</m:t>
              </m:r>
            </m:e>
          </m:acc>
          <m:r>
            <m:rPr>
              <m:sty m:val="p"/>
            </m:rPr>
            <m:t>=</m:t>
          </m:r>
          <m:acc>
            <m:accPr>
              <m:chr m:val="̃"/>
            </m:accPr>
            <m:e>
              <m:r>
                <m:t>b</m:t>
              </m:r>
            </m:e>
          </m:acc>
          <m:r>
            <m:rPr>
              <m:sty m:val="p"/>
            </m:rPr>
            <m:t>+</m:t>
          </m:r>
          <m:nary>
            <m:naryPr>
              <m:chr m:val="∑"/>
              <m:limLoc m:val="undOvr"/>
              <m:subHide m:val="off"/>
              <m:supHide m:val="on"/>
            </m:naryPr>
            <m:sub>
              <m:r>
                <m:t>j</m:t>
              </m:r>
            </m:sub>
            <m:sup>
              <m:r>
                <m:t>​</m:t>
              </m:r>
            </m:sup>
            <m:e>
              <m:sSub>
                <m:e>
                  <m:acc>
                    <m:accPr>
                      <m:chr m:val="̃"/>
                    </m:accPr>
                    <m:e>
                      <m:r>
                        <m:t>w</m:t>
                      </m:r>
                    </m:e>
                  </m:acc>
                </m:e>
                <m:sub>
                  <m:r>
                    <m:t>j</m:t>
                  </m:r>
                </m:sub>
              </m:sSub>
            </m:e>
          </m:nary>
          <m:r>
            <m:t> </m:t>
          </m:r>
          <m:f>
            <m:fPr>
              <m:type m:val="bar"/>
            </m:fPr>
            <m:num>
              <m:sSub>
                <m:e>
                  <m:r>
                    <m:t>x</m:t>
                  </m:r>
                </m:e>
                <m:sub>
                  <m:r>
                    <m:t>j</m:t>
                  </m:r>
                </m:sub>
              </m:sSub>
              <m:r>
                <m:rPr>
                  <m:sty m:val="p"/>
                </m:rPr>
                <m:t>−</m:t>
              </m:r>
              <m:sSub>
                <m:e>
                  <m:r>
                    <m:t>μ</m:t>
                  </m:r>
                </m:e>
                <m:sub>
                  <m:r>
                    <m:t>j</m:t>
                  </m:r>
                </m:sub>
              </m:sSub>
            </m:num>
            <m:den>
              <m:sSub>
                <m:e>
                  <m:r>
                    <m:t>σ</m:t>
                  </m:r>
                </m:e>
                <m:sub>
                  <m:r>
                    <m:t>j</m:t>
                  </m:r>
                </m:sub>
              </m:sSub>
            </m:den>
          </m:f>
          <m:r>
            <m:rPr>
              <m:sty m:val="p"/>
            </m:rPr>
            <m:t>=</m:t>
          </m:r>
          <m:d>
            <m:dPr>
              <m:begChr m:val="("/>
              <m:sepChr m:val=""/>
              <m:endChr m:val=")"/>
              <m:grow/>
            </m:dPr>
            <m:e>
              <m:acc>
                <m:accPr>
                  <m:chr m:val="̃"/>
                </m:accPr>
                <m:e>
                  <m:r>
                    <m:t>b</m:t>
                  </m:r>
                </m:e>
              </m:acc>
              <m:r>
                <m:rPr>
                  <m:sty m:val="p"/>
                </m:rPr>
                <m:t>−</m:t>
              </m:r>
              <m:nary>
                <m:naryPr>
                  <m:chr m:val="∑"/>
                  <m:limLoc m:val="undOvr"/>
                  <m:subHide m:val="off"/>
                  <m:supHide m:val="on"/>
                </m:naryPr>
                <m:sub>
                  <m:r>
                    <m:t>j</m:t>
                  </m:r>
                </m:sub>
                <m:sup>
                  <m:r>
                    <m:t>​</m:t>
                  </m:r>
                </m:sup>
                <m:e>
                  <m:sSub>
                    <m:e>
                      <m:acc>
                        <m:accPr>
                          <m:chr m:val="̃"/>
                        </m:accPr>
                        <m:e>
                          <m:r>
                            <m:t>w</m:t>
                          </m:r>
                        </m:e>
                      </m:acc>
                    </m:e>
                    <m:sub>
                      <m:r>
                        <m:t>j</m:t>
                      </m:r>
                    </m:sub>
                  </m:sSub>
                </m:e>
              </m:nary>
              <m:r>
                <m:t> </m:t>
              </m:r>
              <m:sSub>
                <m:e>
                  <m:r>
                    <m:t>μ</m:t>
                  </m:r>
                </m:e>
                <m:sub>
                  <m:r>
                    <m:t>j</m:t>
                  </m:r>
                </m:sub>
              </m:sSub>
              <m:r>
                <m:rPr>
                  <m:sty m:val="p"/>
                </m:rPr>
                <m:t>/</m:t>
              </m:r>
              <m:sSub>
                <m:e>
                  <m:r>
                    <m:t>σ</m:t>
                  </m:r>
                </m:e>
                <m:sub>
                  <m:r>
                    <m:t>j</m:t>
                  </m:r>
                </m:sub>
              </m:sSub>
            </m:e>
          </m:d>
          <m:r>
            <m:rPr>
              <m:sty m:val="p"/>
            </m:rPr>
            <m:t>+</m:t>
          </m:r>
          <m:nary>
            <m:naryPr>
              <m:chr m:val="∑"/>
              <m:limLoc m:val="undOvr"/>
              <m:subHide m:val="off"/>
              <m:supHide m:val="on"/>
            </m:naryPr>
            <m:sub>
              <m:r>
                <m:t>j</m:t>
              </m:r>
            </m:sub>
            <m:sup>
              <m:r>
                <m:t>​</m:t>
              </m:r>
            </m:sup>
            <m:e>
              <m:d>
                <m:dPr>
                  <m:begChr m:val="("/>
                  <m:sepChr m:val=""/>
                  <m:endChr m:val=")"/>
                  <m:grow/>
                </m:dPr>
                <m:e>
                  <m:sSub>
                    <m:e>
                      <m:acc>
                        <m:accPr>
                          <m:chr m:val="̃"/>
                        </m:accPr>
                        <m:e>
                          <m:r>
                            <m:t>w</m:t>
                          </m:r>
                        </m:e>
                      </m:acc>
                    </m:e>
                    <m:sub>
                      <m:r>
                        <m:t>j</m:t>
                      </m:r>
                    </m:sub>
                  </m:sSub>
                  <m:r>
                    <m:rPr>
                      <m:sty m:val="p"/>
                    </m:rPr>
                    <m:t>/</m:t>
                  </m:r>
                  <m:sSub>
                    <m:e>
                      <m:r>
                        <m:t>σ</m:t>
                      </m:r>
                    </m:e>
                    <m:sub>
                      <m:r>
                        <m:t>j</m:t>
                      </m:r>
                    </m:sub>
                  </m:sSub>
                </m:e>
              </m:d>
            </m:e>
          </m:nary>
          <m:r>
            <m:t> </m:t>
          </m:r>
          <m:sSub>
            <m:e>
              <m:r>
                <m:t>x</m:t>
              </m:r>
            </m:e>
            <m:sub>
              <m:r>
                <m:t>j</m:t>
              </m:r>
            </m:sub>
          </m:sSub>
          <m:r>
            <m:rPr>
              <m:sty m:val="p"/>
            </m:rPr>
            <m:t>.</m:t>
          </m:r>
        </m:oMath>
      </m:oMathPara>
    </w:p>
    <w:p>
      <w:pPr>
        <w:pStyle w:val="FirstParagraph"/>
      </w:pPr>
      <w:r>
        <w:t xml:space="preserve">The optimum does not change in any meaningful way; only its coordinates do.</w:t>
      </w:r>
    </w:p>
    <w:p>
      <w:pPr>
        <w:pStyle w:val="TableCaption"/>
      </w:pPr>
      <w:r>
        <w:rPr>
          <w:b/>
          <w:bCs/>
        </w:rPr>
        <w:t xml:space="preserve">Table 3.</w:t>
      </w:r>
      <w:r>
        <w:t xml:space="preserve"> </w:t>
      </w:r>
      <w:r>
        <w:t xml:space="preserve">Closed-form coefficients for each feature set. Column 4 rescales the standardized weights back to raw units.</w:t>
      </w:r>
    </w:p>
    <w:tbl>
      <w:tblPr>
        <w:tblStyle w:val="Table"/>
        <w:tblW w:type="dxa" w:w="9359"/>
        <w:jc w:val="center"/>
        <w:tblBorders>
          <w:top w:val="single" w:sz="8" w:space="0" w:color="1F3A5F"/>
          <w:left w:val="nil"/>
          <w:bottom w:val="single" w:sz="8" w:space="0" w:color="1F3A5F"/>
          <w:right w:val="nil"/>
          <w:insideH w:val="single" w:sz="2" w:space="0" w:color="D0D0D0"/>
          <w:insideV w:val="nil"/>
        </w:tblBorders>
        <w:tblLayout w:type="fixed"/>
        <w:tblCellMar>
          <w:top w:w="30" w:type="dxa"/>
          <w:left w:w="80" w:type="dxa"/>
          <w:bottom w:w="30" w:type="dxa"/>
          <w:right w:w="80" w:type="dxa"/>
        </w:tblCellMar>
        <w:tblLook w:firstRow="1" w:lastRow="0" w:firstColumn="0" w:lastColumn="0" w:noHBand="0" w:noVBand="0" w:val="0020"/>
        <w:tblCaption w:val="Table 3. Closed-form coefficients for each feature set. Column 4 rescales the standardized weights back to raw units."/>
      </w:tblPr>
      <w:tblGrid>
        <w:gridCol w:w="2525"/>
        <w:gridCol w:w="1872"/>
        <w:gridCol w:w="1741"/>
        <w:gridCol w:w="1088"/>
        <w:gridCol w:w="2133"/>
      </w:tblGrid>
      <w:tr>
        <w:trPr>
          <w:cantSplit/>
          <w:tblHeader w:val="on"/>
        </w:trPr>
        <w:tc>
          <w:tcPr>
            <w:tcW w:w="2525" w:type="dxa"/>
            <w:tcBorders>
              <w:bottom w:val="single" w:sz="6" w:space="0" w:color="1F3A5F"/>
            </w:tcBorders>
            <w:shd w:val="clear" w:color="auto" w:fill="E9EEF5"/>
            <w:vAlign w:val="bottom"/>
          </w:tcPr>
          <w:p>
            <w:pPr>
              <w:pStyle w:val="Compact"/>
              <w:keepNext/>
              <w:spacing w:before="0" w:after="0" w:line="276" w:lineRule="auto"/>
              <w:jc w:val="left"/>
            </w:pPr>
            <w:r>
              <w:rPr>
                <w:b/>
                <w:sz w:val="22"/>
              </w:rPr>
              <w:t xml:space="preserve">Feature</w:t>
            </w:r>
          </w:p>
        </w:tc>
        <w:tc>
          <w:tcPr>
            <w:tcW w:w="1872" w:type="dxa"/>
            <w:tcBorders>
              <w:bottom w:val="single" w:sz="6" w:space="0" w:color="1F3A5F"/>
            </w:tcBorders>
            <w:shd w:val="clear" w:color="auto" w:fill="E9EEF5"/>
            <w:vAlign w:val="bottom"/>
          </w:tcPr>
          <w:p>
            <w:pPr>
              <w:pStyle w:val="Compact"/>
              <w:keepNext/>
              <w:spacing w:before="0" w:after="0" w:line="276" w:lineRule="auto"/>
              <w:jc w:val="right"/>
            </w:pPr>
            <w:r>
              <w:rPr>
                <w:b/>
                <w:sz w:val="22"/>
              </w:rPr>
              <w:t xml:space="preserve">Untransformed</w:t>
            </w:r>
            <w:r>
              <w:rPr>
                <w:b/>
                <w:sz w:val="22"/>
              </w:rPr>
              <w:t xml:space="preserve"> </w:t>
            </w:r>
            <m:oMath>
              <m:sSub>
                <m:e>
                  <m:r>
                    <w:rPr>
                      <w:sz w:val="22"/>
                      <w:szCs w:val="22"/>
                    </w:rPr>
                    <m:t>w</m:t>
                  </m:r>
                </m:e>
                <m:sub>
                  <m:r>
                    <w:rPr>
                      <w:sz w:val="22"/>
                      <w:szCs w:val="22"/>
                    </w:rPr>
                    <m:t>j</m:t>
                  </m:r>
                </m:sub>
              </m:sSub>
            </m:oMath>
          </w:p>
        </w:tc>
        <w:tc>
          <w:tcPr>
            <w:tcW w:w="1741" w:type="dxa"/>
            <w:tcBorders>
              <w:bottom w:val="single" w:sz="6" w:space="0" w:color="1F3A5F"/>
            </w:tcBorders>
            <w:shd w:val="clear" w:color="auto" w:fill="E9EEF5"/>
            <w:vAlign w:val="bottom"/>
          </w:tcPr>
          <w:p>
            <w:pPr>
              <w:pStyle w:val="Compact"/>
              <w:keepNext/>
              <w:spacing w:before="0" w:after="0" w:line="276" w:lineRule="auto"/>
              <w:jc w:val="right"/>
            </w:pPr>
            <w:r>
              <w:rPr>
                <w:b/>
                <w:sz w:val="22"/>
              </w:rPr>
              <w:t xml:space="preserve">Standardized</w:t>
            </w:r>
            <w:r>
              <w:rPr>
                <w:b/>
                <w:sz w:val="22"/>
              </w:rPr>
              <w:t xml:space="preserve"> </w:t>
            </w:r>
            <m:oMath>
              <m:sSub>
                <m:e>
                  <m:acc>
                    <m:accPr>
                      <m:chr m:val="̃"/>
                    </m:accPr>
                    <m:e>
                      <m:r>
                        <w:rPr>
                          <w:sz w:val="22"/>
                          <w:szCs w:val="22"/>
                        </w:rPr>
                        <m:t>w</m:t>
                      </m:r>
                    </m:e>
                  </m:acc>
                </m:e>
                <m:sub>
                  <m:r>
                    <w:rPr>
                      <w:sz w:val="22"/>
                      <w:szCs w:val="22"/>
                    </w:rPr>
                    <m:t>j</m:t>
                  </m:r>
                </m:sub>
              </m:sSub>
            </m:oMath>
          </w:p>
        </w:tc>
        <w:tc>
          <w:tcPr>
            <w:tcW w:w="1088" w:type="dxa"/>
            <w:tcBorders>
              <w:bottom w:val="single" w:sz="6" w:space="0" w:color="1F3A5F"/>
            </w:tcBorders>
            <w:shd w:val="clear" w:color="auto" w:fill="E9EEF5"/>
            <w:vAlign w:val="bottom"/>
          </w:tcPr>
          <w:p>
            <w:pPr>
              <w:pStyle w:val="Compact"/>
              <w:keepNext/>
              <w:spacing w:before="0" w:after="0" w:line="276" w:lineRule="auto"/>
              <w:jc w:val="right"/>
            </w:pPr>
            <m:oMath>
              <m:sSub>
                <m:e>
                  <m:acc>
                    <m:accPr>
                      <m:chr m:val="̃"/>
                    </m:accPr>
                    <m:e>
                      <m:r>
                        <w:rPr>
                          <w:sz w:val="22"/>
                          <w:szCs w:val="22"/>
                        </w:rPr>
                        <m:t>w</m:t>
                      </m:r>
                    </m:e>
                  </m:acc>
                </m:e>
                <m:sub>
                  <m:r>
                    <w:rPr>
                      <w:sz w:val="22"/>
                      <w:szCs w:val="22"/>
                    </w:rPr>
                    <m:t>j</m:t>
                  </m:r>
                </m:sub>
              </m:sSub>
              <m:r>
                <m:rPr>
                  <m:sty m:val="p"/>
                </m:rPr>
                <w:rPr>
                  <w:sz w:val="22"/>
                  <w:szCs w:val="22"/>
                </w:rPr>
                <m:t>/</m:t>
              </m:r>
              <m:sSub>
                <m:e>
                  <m:r>
                    <w:rPr>
                      <w:sz w:val="22"/>
                      <w:szCs w:val="22"/>
                    </w:rPr>
                    <m:t>σ</m:t>
                  </m:r>
                </m:e>
                <m:sub>
                  <m:r>
                    <w:rPr>
                      <w:sz w:val="22"/>
                      <w:szCs w:val="22"/>
                    </w:rPr>
                    <m:t>j</m:t>
                  </m:r>
                </m:sub>
              </m:sSub>
            </m:oMath>
          </w:p>
        </w:tc>
        <w:tc>
          <w:tcPr>
            <w:tcW w:w="2133" w:type="dxa"/>
            <w:tcBorders>
              <w:bottom w:val="single" w:sz="6" w:space="0" w:color="1F3A5F"/>
            </w:tcBorders>
            <w:shd w:val="clear" w:color="auto" w:fill="E9EEF5"/>
            <w:vAlign w:val="bottom"/>
          </w:tcPr>
          <w:p>
            <w:pPr>
              <w:pStyle w:val="Compact"/>
              <w:keepNext/>
              <w:spacing w:before="0" w:after="0" w:line="276" w:lineRule="auto"/>
              <w:jc w:val="right"/>
            </w:pPr>
            <w:r>
              <w:rPr>
                <w:b/>
                <w:sz w:val="22"/>
              </w:rPr>
              <w:t xml:space="preserve">Log-transformed</w:t>
            </w:r>
          </w:p>
        </w:tc>
      </w:tr>
      <w:tr>
        <w:trPr>
          <w:cantSplit/>
        </w:trPr>
        <w:tc>
          <w:tcPr>
            <w:tcW w:w="2525" w:type="dxa"/>
          </w:tcPr>
          <w:p>
            <w:pPr>
              <w:pStyle w:val="Compact"/>
              <w:keepNext/>
              <w:spacing w:before="0" w:after="0" w:line="276" w:lineRule="auto"/>
              <w:jc w:val="left"/>
            </w:pPr>
            <w:r>
              <w:rPr>
                <w:sz w:val="22"/>
              </w:rPr>
              <w:t xml:space="preserve">Cement</w:t>
            </w:r>
          </w:p>
        </w:tc>
        <w:tc>
          <w:tcPr>
            <w:tcW w:w="1872" w:type="dxa"/>
          </w:tcPr>
          <w:p>
            <w:pPr>
              <w:pStyle w:val="Compact"/>
              <w:keepNext/>
              <w:spacing w:before="0" w:after="0" w:line="276" w:lineRule="auto"/>
              <w:jc w:val="right"/>
            </w:pPr>
            <w:r>
              <w:rPr>
                <w:sz w:val="22"/>
              </w:rPr>
              <w:t xml:space="preserve">0.1324</w:t>
            </w:r>
          </w:p>
        </w:tc>
        <w:tc>
          <w:tcPr>
            <w:tcW w:w="1741" w:type="dxa"/>
          </w:tcPr>
          <w:p>
            <w:pPr>
              <w:pStyle w:val="Compact"/>
              <w:keepNext/>
              <w:spacing w:before="0" w:after="0" w:line="276" w:lineRule="auto"/>
              <w:jc w:val="right"/>
            </w:pPr>
            <w:r>
              <w:rPr>
                <w:sz w:val="22"/>
              </w:rPr>
              <w:t xml:space="preserve">14.0319</w:t>
            </w:r>
          </w:p>
        </w:tc>
        <w:tc>
          <w:tcPr>
            <w:tcW w:w="1088" w:type="dxa"/>
          </w:tcPr>
          <w:p>
            <w:pPr>
              <w:pStyle w:val="Compact"/>
              <w:keepNext/>
              <w:spacing w:before="0" w:after="0" w:line="276" w:lineRule="auto"/>
              <w:jc w:val="right"/>
            </w:pPr>
            <w:r>
              <w:rPr>
                <w:sz w:val="22"/>
              </w:rPr>
              <w:t xml:space="preserve">0.1324</w:t>
            </w:r>
          </w:p>
        </w:tc>
        <w:tc>
          <w:tcPr>
            <w:tcW w:w="2133" w:type="dxa"/>
          </w:tcPr>
          <w:p>
            <w:pPr>
              <w:pStyle w:val="Compact"/>
              <w:keepNext/>
              <w:spacing w:before="0" w:after="0" w:line="276" w:lineRule="auto"/>
              <w:jc w:val="right"/>
            </w:pPr>
            <w:r>
              <w:rPr>
                <w:sz w:val="22"/>
              </w:rPr>
              <w:t xml:space="preserve">23.6163</w:t>
            </w:r>
          </w:p>
        </w:tc>
      </w:tr>
      <w:tr>
        <w:trPr>
          <w:cantSplit/>
        </w:trPr>
        <w:tc>
          <w:tcPr>
            <w:tcW w:w="2525" w:type="dxa"/>
          </w:tcPr>
          <w:p>
            <w:pPr>
              <w:pStyle w:val="Compact"/>
              <w:keepNext/>
              <w:spacing w:before="0" w:after="0" w:line="276" w:lineRule="auto"/>
              <w:jc w:val="left"/>
            </w:pPr>
            <w:r>
              <w:rPr>
                <w:sz w:val="22"/>
              </w:rPr>
              <w:t xml:space="preserve">Blast Furnace Slag</w:t>
            </w:r>
          </w:p>
        </w:tc>
        <w:tc>
          <w:tcPr>
            <w:tcW w:w="1872" w:type="dxa"/>
          </w:tcPr>
          <w:p>
            <w:pPr>
              <w:pStyle w:val="Compact"/>
              <w:keepNext/>
              <w:spacing w:before="0" w:after="0" w:line="276" w:lineRule="auto"/>
              <w:jc w:val="right"/>
            </w:pPr>
            <w:r>
              <w:rPr>
                <w:sz w:val="22"/>
              </w:rPr>
              <w:t xml:space="preserve">0.1247</w:t>
            </w:r>
          </w:p>
        </w:tc>
        <w:tc>
          <w:tcPr>
            <w:tcW w:w="1741" w:type="dxa"/>
          </w:tcPr>
          <w:p>
            <w:pPr>
              <w:pStyle w:val="Compact"/>
              <w:keepNext/>
              <w:spacing w:before="0" w:after="0" w:line="276" w:lineRule="auto"/>
              <w:jc w:val="right"/>
            </w:pPr>
            <w:r>
              <w:rPr>
                <w:sz w:val="22"/>
              </w:rPr>
              <w:t xml:space="preserve">10.4806</w:t>
            </w:r>
          </w:p>
        </w:tc>
        <w:tc>
          <w:tcPr>
            <w:tcW w:w="1088" w:type="dxa"/>
          </w:tcPr>
          <w:p>
            <w:pPr>
              <w:pStyle w:val="Compact"/>
              <w:keepNext/>
              <w:spacing w:before="0" w:after="0" w:line="276" w:lineRule="auto"/>
              <w:jc w:val="right"/>
            </w:pPr>
            <w:r>
              <w:rPr>
                <w:sz w:val="22"/>
              </w:rPr>
              <w:t xml:space="preserve">0.1247</w:t>
            </w:r>
          </w:p>
        </w:tc>
        <w:tc>
          <w:tcPr>
            <w:tcW w:w="2133" w:type="dxa"/>
          </w:tcPr>
          <w:p>
            <w:pPr>
              <w:pStyle w:val="Compact"/>
              <w:keepNext/>
              <w:spacing w:before="0" w:after="0" w:line="276" w:lineRule="auto"/>
              <w:jc w:val="right"/>
            </w:pPr>
            <w:r>
              <w:rPr>
                <w:sz w:val="22"/>
              </w:rPr>
              <w:t xml:space="preserve">2.3034</w:t>
            </w:r>
          </w:p>
        </w:tc>
      </w:tr>
      <w:tr>
        <w:trPr>
          <w:cantSplit/>
        </w:trPr>
        <w:tc>
          <w:tcPr>
            <w:tcW w:w="2525" w:type="dxa"/>
          </w:tcPr>
          <w:p>
            <w:pPr>
              <w:pStyle w:val="Compact"/>
              <w:keepNext/>
              <w:spacing w:before="0" w:after="0" w:line="276" w:lineRule="auto"/>
              <w:jc w:val="left"/>
            </w:pPr>
            <w:r>
              <w:rPr>
                <w:sz w:val="22"/>
              </w:rPr>
              <w:t xml:space="preserve">Fly Ash</w:t>
            </w:r>
          </w:p>
        </w:tc>
        <w:tc>
          <w:tcPr>
            <w:tcW w:w="1872" w:type="dxa"/>
          </w:tcPr>
          <w:p>
            <w:pPr>
              <w:pStyle w:val="Compact"/>
              <w:keepNext/>
              <w:spacing w:before="0" w:after="0" w:line="276" w:lineRule="auto"/>
              <w:jc w:val="right"/>
            </w:pPr>
            <w:r>
              <w:rPr>
                <w:sz w:val="22"/>
              </w:rPr>
              <w:t xml:space="preserve">0.1061</w:t>
            </w:r>
          </w:p>
        </w:tc>
        <w:tc>
          <w:tcPr>
            <w:tcW w:w="1741" w:type="dxa"/>
          </w:tcPr>
          <w:p>
            <w:pPr>
              <w:pStyle w:val="Compact"/>
              <w:keepNext/>
              <w:spacing w:before="0" w:after="0" w:line="276" w:lineRule="auto"/>
              <w:jc w:val="right"/>
            </w:pPr>
            <w:r>
              <w:rPr>
                <w:sz w:val="22"/>
              </w:rPr>
              <w:t xml:space="preserve">6.8172</w:t>
            </w:r>
          </w:p>
        </w:tc>
        <w:tc>
          <w:tcPr>
            <w:tcW w:w="1088" w:type="dxa"/>
          </w:tcPr>
          <w:p>
            <w:pPr>
              <w:pStyle w:val="Compact"/>
              <w:keepNext/>
              <w:spacing w:before="0" w:after="0" w:line="276" w:lineRule="auto"/>
              <w:jc w:val="right"/>
            </w:pPr>
            <w:r>
              <w:rPr>
                <w:sz w:val="22"/>
              </w:rPr>
              <w:t xml:space="preserve">0.1061</w:t>
            </w:r>
          </w:p>
        </w:tc>
        <w:tc>
          <w:tcPr>
            <w:tcW w:w="2133" w:type="dxa"/>
          </w:tcPr>
          <w:p>
            <w:pPr>
              <w:pStyle w:val="Compact"/>
              <w:keepNext/>
              <w:spacing w:before="0" w:after="0" w:line="276" w:lineRule="auto"/>
              <w:jc w:val="right"/>
            </w:pPr>
            <w:r>
              <w:rPr>
                <w:sz w:val="22"/>
              </w:rPr>
              <w:t xml:space="preserve">0.1967</w:t>
            </w:r>
          </w:p>
        </w:tc>
      </w:tr>
      <w:tr>
        <w:trPr>
          <w:cantSplit/>
        </w:trPr>
        <w:tc>
          <w:tcPr>
            <w:tcW w:w="2525" w:type="dxa"/>
          </w:tcPr>
          <w:p>
            <w:pPr>
              <w:pStyle w:val="Compact"/>
              <w:keepNext/>
              <w:spacing w:before="0" w:after="0" w:line="276" w:lineRule="auto"/>
              <w:jc w:val="left"/>
            </w:pPr>
            <w:r>
              <w:rPr>
                <w:sz w:val="22"/>
              </w:rPr>
              <w:t xml:space="preserve">Water</w:t>
            </w:r>
          </w:p>
        </w:tc>
        <w:tc>
          <w:tcPr>
            <w:tcW w:w="1872" w:type="dxa"/>
          </w:tcPr>
          <w:p>
            <w:pPr>
              <w:pStyle w:val="Compact"/>
              <w:keepNext/>
              <w:spacing w:before="0" w:after="0" w:line="276" w:lineRule="auto"/>
              <w:jc w:val="right"/>
            </w:pPr>
            <w:r>
              <w:rPr>
                <w:sz w:val="22"/>
              </w:rPr>
              <w:t xml:space="preserve">−0.1341</w:t>
            </w:r>
          </w:p>
        </w:tc>
        <w:tc>
          <w:tcPr>
            <w:tcW w:w="1741" w:type="dxa"/>
          </w:tcPr>
          <w:p>
            <w:pPr>
              <w:pStyle w:val="Compact"/>
              <w:keepNext/>
              <w:spacing w:before="0" w:after="0" w:line="276" w:lineRule="auto"/>
              <w:jc w:val="right"/>
            </w:pPr>
            <w:r>
              <w:rPr>
                <w:sz w:val="22"/>
              </w:rPr>
              <w:t xml:space="preserve">−2.9858</w:t>
            </w:r>
          </w:p>
        </w:tc>
        <w:tc>
          <w:tcPr>
            <w:tcW w:w="1088" w:type="dxa"/>
          </w:tcPr>
          <w:p>
            <w:pPr>
              <w:pStyle w:val="Compact"/>
              <w:keepNext/>
              <w:spacing w:before="0" w:after="0" w:line="276" w:lineRule="auto"/>
              <w:jc w:val="right"/>
            </w:pPr>
            <w:r>
              <w:rPr>
                <w:sz w:val="22"/>
              </w:rPr>
              <w:t xml:space="preserve">−0.1341</w:t>
            </w:r>
          </w:p>
        </w:tc>
        <w:tc>
          <w:tcPr>
            <w:tcW w:w="2133" w:type="dxa"/>
          </w:tcPr>
          <w:p>
            <w:pPr>
              <w:pStyle w:val="Compact"/>
              <w:keepNext/>
              <w:spacing w:before="0" w:after="0" w:line="276" w:lineRule="auto"/>
              <w:jc w:val="right"/>
            </w:pPr>
            <w:r>
              <w:rPr>
                <w:sz w:val="22"/>
              </w:rPr>
              <w:t xml:space="preserve">−38.3340</w:t>
            </w:r>
          </w:p>
        </w:tc>
      </w:tr>
      <w:tr>
        <w:trPr>
          <w:cantSplit/>
        </w:trPr>
        <w:tc>
          <w:tcPr>
            <w:tcW w:w="2525" w:type="dxa"/>
          </w:tcPr>
          <w:p>
            <w:pPr>
              <w:pStyle w:val="Compact"/>
              <w:keepNext/>
              <w:spacing w:before="0" w:after="0" w:line="276" w:lineRule="auto"/>
              <w:jc w:val="left"/>
            </w:pPr>
            <w:r>
              <w:rPr>
                <w:sz w:val="22"/>
              </w:rPr>
              <w:t xml:space="preserve">Superplasticizer</w:t>
            </w:r>
          </w:p>
        </w:tc>
        <w:tc>
          <w:tcPr>
            <w:tcW w:w="1872" w:type="dxa"/>
          </w:tcPr>
          <w:p>
            <w:pPr>
              <w:pStyle w:val="Compact"/>
              <w:keepNext/>
              <w:spacing w:before="0" w:after="0" w:line="276" w:lineRule="auto"/>
              <w:jc w:val="right"/>
            </w:pPr>
            <w:r>
              <w:rPr>
                <w:sz w:val="22"/>
              </w:rPr>
              <w:t xml:space="preserve">0.1172</w:t>
            </w:r>
          </w:p>
        </w:tc>
        <w:tc>
          <w:tcPr>
            <w:tcW w:w="1741" w:type="dxa"/>
          </w:tcPr>
          <w:p>
            <w:pPr>
              <w:pStyle w:val="Compact"/>
              <w:keepNext/>
              <w:spacing w:before="0" w:after="0" w:line="276" w:lineRule="auto"/>
              <w:jc w:val="right"/>
            </w:pPr>
            <w:r>
              <w:rPr>
                <w:sz w:val="22"/>
              </w:rPr>
              <w:t xml:space="preserve">0.7009</w:t>
            </w:r>
          </w:p>
        </w:tc>
        <w:tc>
          <w:tcPr>
            <w:tcW w:w="1088" w:type="dxa"/>
          </w:tcPr>
          <w:p>
            <w:pPr>
              <w:pStyle w:val="Compact"/>
              <w:keepNext/>
              <w:spacing w:before="0" w:after="0" w:line="276" w:lineRule="auto"/>
              <w:jc w:val="right"/>
            </w:pPr>
            <w:r>
              <w:rPr>
                <w:sz w:val="22"/>
              </w:rPr>
              <w:t xml:space="preserve">0.1172</w:t>
            </w:r>
          </w:p>
        </w:tc>
        <w:tc>
          <w:tcPr>
            <w:tcW w:w="2133" w:type="dxa"/>
          </w:tcPr>
          <w:p>
            <w:pPr>
              <w:pStyle w:val="Compact"/>
              <w:keepNext/>
              <w:spacing w:before="0" w:after="0" w:line="276" w:lineRule="auto"/>
              <w:jc w:val="right"/>
            </w:pPr>
            <w:r>
              <w:rPr>
                <w:sz w:val="22"/>
              </w:rPr>
              <w:t xml:space="preserve">1.8738</w:t>
            </w:r>
          </w:p>
        </w:tc>
      </w:tr>
      <w:tr>
        <w:trPr>
          <w:cantSplit/>
        </w:trPr>
        <w:tc>
          <w:tcPr>
            <w:tcW w:w="2525" w:type="dxa"/>
          </w:tcPr>
          <w:p>
            <w:pPr>
              <w:pStyle w:val="Compact"/>
              <w:keepNext/>
              <w:spacing w:before="0" w:after="0" w:line="276" w:lineRule="auto"/>
              <w:jc w:val="left"/>
            </w:pPr>
            <w:r>
              <w:rPr>
                <w:sz w:val="22"/>
              </w:rPr>
              <w:t xml:space="preserve">Coarse Aggregate</w:t>
            </w:r>
          </w:p>
        </w:tc>
        <w:tc>
          <w:tcPr>
            <w:tcW w:w="1872" w:type="dxa"/>
          </w:tcPr>
          <w:p>
            <w:pPr>
              <w:pStyle w:val="Compact"/>
              <w:keepNext/>
              <w:spacing w:before="0" w:after="0" w:line="276" w:lineRule="auto"/>
              <w:jc w:val="right"/>
            </w:pPr>
            <w:r>
              <w:rPr>
                <w:sz w:val="22"/>
              </w:rPr>
              <w:t xml:space="preserve">0.0285</w:t>
            </w:r>
          </w:p>
        </w:tc>
        <w:tc>
          <w:tcPr>
            <w:tcW w:w="1741" w:type="dxa"/>
          </w:tcPr>
          <w:p>
            <w:pPr>
              <w:pStyle w:val="Compact"/>
              <w:keepNext/>
              <w:spacing w:before="0" w:after="0" w:line="276" w:lineRule="auto"/>
              <w:jc w:val="right"/>
            </w:pPr>
            <w:r>
              <w:rPr>
                <w:sz w:val="22"/>
              </w:rPr>
              <w:t xml:space="preserve">2.2131</w:t>
            </w:r>
          </w:p>
        </w:tc>
        <w:tc>
          <w:tcPr>
            <w:tcW w:w="1088" w:type="dxa"/>
          </w:tcPr>
          <w:p>
            <w:pPr>
              <w:pStyle w:val="Compact"/>
              <w:keepNext/>
              <w:spacing w:before="0" w:after="0" w:line="276" w:lineRule="auto"/>
              <w:jc w:val="right"/>
            </w:pPr>
            <w:r>
              <w:rPr>
                <w:sz w:val="22"/>
              </w:rPr>
              <w:t xml:space="preserve">0.0285</w:t>
            </w:r>
          </w:p>
        </w:tc>
        <w:tc>
          <w:tcPr>
            <w:tcW w:w="2133" w:type="dxa"/>
          </w:tcPr>
          <w:p>
            <w:pPr>
              <w:pStyle w:val="Compact"/>
              <w:keepNext/>
              <w:spacing w:before="0" w:after="0" w:line="276" w:lineRule="auto"/>
              <w:jc w:val="right"/>
            </w:pPr>
            <w:r>
              <w:rPr>
                <w:sz w:val="22"/>
              </w:rPr>
              <w:t xml:space="preserve">4.1940</w:t>
            </w:r>
          </w:p>
        </w:tc>
      </w:tr>
      <w:tr>
        <w:trPr>
          <w:cantSplit/>
        </w:trPr>
        <w:tc>
          <w:tcPr>
            <w:tcW w:w="2525" w:type="dxa"/>
          </w:tcPr>
          <w:p>
            <w:pPr>
              <w:pStyle w:val="Compact"/>
              <w:keepNext/>
              <w:spacing w:before="0" w:after="0" w:line="276" w:lineRule="auto"/>
              <w:jc w:val="left"/>
            </w:pPr>
            <w:r>
              <w:rPr>
                <w:sz w:val="22"/>
              </w:rPr>
              <w:t xml:space="preserve">Fine Aggregate</w:t>
            </w:r>
          </w:p>
        </w:tc>
        <w:tc>
          <w:tcPr>
            <w:tcW w:w="1872" w:type="dxa"/>
          </w:tcPr>
          <w:p>
            <w:pPr>
              <w:pStyle w:val="Compact"/>
              <w:keepNext/>
              <w:spacing w:before="0" w:after="0" w:line="276" w:lineRule="auto"/>
              <w:jc w:val="right"/>
            </w:pPr>
            <w:r>
              <w:rPr>
                <w:sz w:val="22"/>
              </w:rPr>
              <w:t xml:space="preserve">0.0338</w:t>
            </w:r>
          </w:p>
        </w:tc>
        <w:tc>
          <w:tcPr>
            <w:tcW w:w="1741" w:type="dxa"/>
          </w:tcPr>
          <w:p>
            <w:pPr>
              <w:pStyle w:val="Compact"/>
              <w:keepNext/>
              <w:spacing w:before="0" w:after="0" w:line="276" w:lineRule="auto"/>
              <w:jc w:val="right"/>
            </w:pPr>
            <w:r>
              <w:rPr>
                <w:sz w:val="22"/>
              </w:rPr>
              <w:t xml:space="preserve">2.7698</w:t>
            </w:r>
          </w:p>
        </w:tc>
        <w:tc>
          <w:tcPr>
            <w:tcW w:w="1088" w:type="dxa"/>
          </w:tcPr>
          <w:p>
            <w:pPr>
              <w:pStyle w:val="Compact"/>
              <w:keepNext/>
              <w:spacing w:before="0" w:after="0" w:line="276" w:lineRule="auto"/>
              <w:jc w:val="right"/>
            </w:pPr>
            <w:r>
              <w:rPr>
                <w:sz w:val="22"/>
              </w:rPr>
              <w:t xml:space="preserve">0.0338</w:t>
            </w:r>
          </w:p>
        </w:tc>
        <w:tc>
          <w:tcPr>
            <w:tcW w:w="2133" w:type="dxa"/>
          </w:tcPr>
          <w:p>
            <w:pPr>
              <w:pStyle w:val="Compact"/>
              <w:keepNext/>
              <w:spacing w:before="0" w:after="0" w:line="276" w:lineRule="auto"/>
              <w:jc w:val="right"/>
            </w:pPr>
            <w:r>
              <w:rPr>
                <w:sz w:val="22"/>
              </w:rPr>
              <w:t xml:space="preserve">−6.6464</w:t>
            </w:r>
          </w:p>
        </w:tc>
      </w:tr>
      <w:tr>
        <w:trPr>
          <w:cantSplit/>
        </w:trPr>
        <w:tc>
          <w:tcPr>
            <w:tcW w:w="2525" w:type="dxa"/>
          </w:tcPr>
          <w:p>
            <w:pPr>
              <w:pStyle w:val="Compact"/>
              <w:keepNext/>
              <w:spacing w:before="0" w:after="0" w:line="276" w:lineRule="auto"/>
              <w:jc w:val="left"/>
            </w:pPr>
            <w:r>
              <w:rPr>
                <w:sz w:val="22"/>
              </w:rPr>
              <w:t xml:space="preserve">Age</w:t>
            </w:r>
          </w:p>
        </w:tc>
        <w:tc>
          <w:tcPr>
            <w:tcW w:w="1872" w:type="dxa"/>
          </w:tcPr>
          <w:p>
            <w:pPr>
              <w:pStyle w:val="Compact"/>
              <w:keepNext/>
              <w:spacing w:before="0" w:after="0" w:line="276" w:lineRule="auto"/>
              <w:jc w:val="right"/>
            </w:pPr>
            <w:r>
              <w:rPr>
                <w:sz w:val="22"/>
              </w:rPr>
              <w:t xml:space="preserve">0.1188</w:t>
            </w:r>
          </w:p>
        </w:tc>
        <w:tc>
          <w:tcPr>
            <w:tcW w:w="1741" w:type="dxa"/>
          </w:tcPr>
          <w:p>
            <w:pPr>
              <w:pStyle w:val="Compact"/>
              <w:keepNext/>
              <w:spacing w:before="0" w:after="0" w:line="276" w:lineRule="auto"/>
              <w:jc w:val="right"/>
            </w:pPr>
            <w:r>
              <w:rPr>
                <w:sz w:val="22"/>
              </w:rPr>
              <w:t xml:space="preserve">7.2809</w:t>
            </w:r>
          </w:p>
        </w:tc>
        <w:tc>
          <w:tcPr>
            <w:tcW w:w="1088" w:type="dxa"/>
          </w:tcPr>
          <w:p>
            <w:pPr>
              <w:pStyle w:val="Compact"/>
              <w:keepNext/>
              <w:spacing w:before="0" w:after="0" w:line="276" w:lineRule="auto"/>
              <w:jc w:val="right"/>
            </w:pPr>
            <w:r>
              <w:rPr>
                <w:sz w:val="22"/>
              </w:rPr>
              <w:t xml:space="preserve">0.1188</w:t>
            </w:r>
          </w:p>
        </w:tc>
        <w:tc>
          <w:tcPr>
            <w:tcW w:w="2133" w:type="dxa"/>
          </w:tcPr>
          <w:p>
            <w:pPr>
              <w:pStyle w:val="Compact"/>
              <w:keepNext/>
              <w:spacing w:before="0" w:after="0" w:line="276" w:lineRule="auto"/>
              <w:jc w:val="right"/>
            </w:pPr>
            <w:r>
              <w:rPr>
                <w:sz w:val="22"/>
              </w:rPr>
              <w:t xml:space="preserve">9.0345</w:t>
            </w:r>
          </w:p>
        </w:tc>
      </w:tr>
      <w:tr>
        <w:trPr>
          <w:cantSplit/>
        </w:trPr>
        <w:tc>
          <w:tcPr>
            <w:tcW w:w="2525" w:type="dxa"/>
          </w:tcPr>
          <w:p>
            <w:pPr>
              <w:pStyle w:val="Compact"/>
              <w:spacing w:before="0" w:after="0" w:line="276" w:lineRule="auto"/>
              <w:jc w:val="left"/>
            </w:pPr>
            <w:r>
              <w:rPr>
                <w:sz w:val="22"/>
              </w:rPr>
              <w:t xml:space="preserve">Intercept</w:t>
            </w:r>
          </w:p>
        </w:tc>
        <w:tc>
          <w:tcPr>
            <w:tcW w:w="1872" w:type="dxa"/>
          </w:tcPr>
          <w:p>
            <w:pPr>
              <w:pStyle w:val="Compact"/>
              <w:spacing w:before="0" w:after="0" w:line="276" w:lineRule="auto"/>
              <w:jc w:val="right"/>
            </w:pPr>
            <w:r>
              <w:rPr>
                <w:sz w:val="22"/>
              </w:rPr>
              <w:t xml:space="preserve">−51.4295</w:t>
            </w:r>
          </w:p>
        </w:tc>
        <w:tc>
          <w:tcPr>
            <w:tcW w:w="1741" w:type="dxa"/>
          </w:tcPr>
          <w:p>
            <w:pPr>
              <w:pStyle w:val="Compact"/>
              <w:spacing w:before="0" w:after="0" w:line="276" w:lineRule="auto"/>
              <w:jc w:val="right"/>
            </w:pPr>
            <w:r>
              <w:rPr>
                <w:sz w:val="22"/>
              </w:rPr>
              <w:t xml:space="preserve">36.9268</w:t>
            </w:r>
          </w:p>
        </w:tc>
        <w:tc>
          <w:tcPr>
            <w:tcW w:w="1088" w:type="dxa"/>
          </w:tcPr>
          <w:p>
            <w:pPr>
              <w:pStyle w:val="Compact"/>
              <w:spacing w:before="0" w:after="0" w:line="276" w:lineRule="auto"/>
              <w:jc w:val="right"/>
            </w:pPr>
            <w:r>
              <w:rPr>
                <w:sz w:val="22"/>
              </w:rPr>
              <w:t xml:space="preserve">—</w:t>
            </w:r>
          </w:p>
        </w:tc>
        <w:tc>
          <w:tcPr>
            <w:tcW w:w="2133" w:type="dxa"/>
          </w:tcPr>
          <w:p>
            <w:pPr>
              <w:pStyle w:val="Compact"/>
              <w:spacing w:before="0" w:after="0" w:line="276" w:lineRule="auto"/>
              <w:jc w:val="right"/>
            </w:pPr>
            <w:r>
              <w:rPr>
                <w:sz w:val="22"/>
              </w:rPr>
              <w:t xml:space="preserve">81.0016</w:t>
            </w:r>
          </w:p>
        </w:tc>
      </w:tr>
    </w:tbl>
    <w:bookmarkEnd w:id="22"/>
    <w:bookmarkStart w:id="26" w:name="X0243bf9af62c539a554379efe8855681f15ee3b"/>
    <w:p>
      <w:pPr>
        <w:pStyle w:val="Heading1"/>
      </w:pPr>
      <w:r>
        <w:t xml:space="preserve">Linear vs. Non-Linear Feature Transformations</w:t>
      </w:r>
    </w:p>
    <w:p>
      <w:pPr>
        <w:pStyle w:val="FirstParagraph"/>
      </w:pPr>
      <w:r>
        <w:rPr>
          <w:b/>
          <w:bCs/>
        </w:rPr>
        <w:t xml:space="preserve">Approach.</w:t>
      </w:r>
      <w:r>
        <w:t xml:space="preserve"> </w:t>
      </w:r>
      <w:r>
        <w:t xml:space="preserve">We applied</w:t>
      </w:r>
      <w:r>
        <w:t xml:space="preserve"> </w:t>
      </w:r>
      <m:oMath>
        <m:sSup>
          <m:e>
            <m:r>
              <m:t>x</m:t>
            </m:r>
          </m:e>
          <m:sup>
            <m:r>
              <m:rPr>
                <m:sty m:val="p"/>
              </m:rPr>
              <m:t>′</m:t>
            </m:r>
          </m:sup>
        </m:sSup>
        <m:r>
          <m:rPr>
            <m:sty m:val="p"/>
          </m:rPr>
          <m:t>=</m:t>
        </m:r>
        <m:r>
          <m:rPr>
            <m:sty m:val="p"/>
          </m:rPr>
          <m:t>ln</m:t>
        </m:r>
        <m:r>
          <m:rPr>
            <m:sty m:val="p"/>
          </m:rPr>
          <m:t>(</m:t>
        </m:r>
        <m:r>
          <m:t>x</m:t>
        </m:r>
        <m:r>
          <m:rPr>
            <m:sty m:val="p"/>
          </m:rPr>
          <m:t>+</m:t>
        </m:r>
        <m:r>
          <m:t>1</m:t>
        </m:r>
        <m:r>
          <m:rPr>
            <m:sty m:val="p"/>
          </m:rPr>
          <m:t>)</m:t>
        </m:r>
      </m:oMath>
      <w:r>
        <w:t xml:space="preserve"> </w:t>
      </w:r>
      <w:r>
        <w:t xml:space="preserve">elementwise to all eight predictors; the</w:t>
      </w:r>
      <w:r>
        <w:t xml:space="preserve"> </w:t>
      </w:r>
      <m:oMath>
        <m:r>
          <m:rPr>
            <m:sty m:val="p"/>
          </m:rPr>
          <m:t>+</m:t>
        </m:r>
        <m:r>
          <m:t>1</m:t>
        </m:r>
      </m:oMath>
      <w:r>
        <w:t xml:space="preserve"> </w:t>
      </w:r>
      <w:r>
        <w:t xml:space="preserve">keeps zero dosages finite. We trained the model with our gradient descent at</w:t>
      </w:r>
      <w:r>
        <w:t xml:space="preserve"> </w:t>
      </w:r>
      <m:oMath>
        <m:r>
          <m:t>α</m:t>
        </m:r>
        <m:r>
          <m:rPr>
            <m:sty m:val="p"/>
          </m:rPr>
          <m:t>=</m:t>
        </m:r>
        <m:r>
          <m:t>5</m:t>
        </m:r>
        <m:r>
          <m:rPr>
            <m:sty m:val="p"/>
          </m:rPr>
          <m:t>×</m:t>
        </m:r>
        <m:sSup>
          <m:e>
            <m:r>
              <m:t>10</m:t>
            </m:r>
          </m:e>
          <m:sup>
            <m:r>
              <m:rPr>
                <m:sty m:val="p"/>
              </m:rPr>
              <m:t>−</m:t>
            </m:r>
            <m:r>
              <m:t>3</m:t>
            </m:r>
          </m:sup>
        </m:sSup>
      </m:oMath>
      <w:r>
        <w:t xml:space="preserve">, just below the limit of</w:t>
      </w:r>
      <w:r>
        <w:t xml:space="preserve"> </w:t>
      </w:r>
      <m:oMath>
        <m:r>
          <m:t>5.68</m:t>
        </m:r>
        <m:r>
          <m:rPr>
            <m:sty m:val="p"/>
          </m:rPr>
          <m:t>×</m:t>
        </m:r>
        <m:sSup>
          <m:e>
            <m:r>
              <m:t>10</m:t>
            </m:r>
          </m:e>
          <m:sup>
            <m:r>
              <m:rPr>
                <m:sty m:val="p"/>
              </m:rPr>
              <m:t>−</m:t>
            </m:r>
            <m:r>
              <m:t>3</m:t>
            </m:r>
          </m:sup>
        </m:sSup>
      </m:oMath>
      <w:r>
        <w:t xml:space="preserve">, and computed the optimum with</w:t>
      </w:r>
      <w:r>
        <w:t xml:space="preserve"> </w:t>
      </w:r>
      <w:r>
        <w:rPr>
          <w:rStyle w:val="VerbatimChar"/>
        </w:rPr>
        <w:t xml:space="preserve">LinearRegression</w:t>
      </w:r>
      <w:r>
        <w:t xml:space="preserve">.</w:t>
      </w:r>
    </w:p>
    <w:p>
      <w:pPr>
        <w:pStyle w:val="BodyText"/>
      </w:pPr>
      <w:r>
        <w:rPr>
          <w:b/>
          <w:bCs/>
        </w:rPr>
        <w:t xml:space="preserve">Convergence and stability.</w:t>
      </w:r>
      <w:r>
        <w:t xml:space="preserve"> </w:t>
      </w:r>
      <w:r>
        <w:t xml:space="preserve">Figure 2 adds the log-transformed run. Its condition number (</w:t>
      </w:r>
      <m:oMath>
        <m:r>
          <m:t>1.63</m:t>
        </m:r>
        <m:r>
          <m:rPr>
            <m:sty m:val="p"/>
          </m:rPr>
          <m:t>×</m:t>
        </m:r>
        <m:sSup>
          <m:e>
            <m:r>
              <m:t>10</m:t>
            </m:r>
          </m:e>
          <m:sup>
            <m:r>
              <m:t>7</m:t>
            </m:r>
          </m:sup>
        </m:sSup>
      </m:oMath>
      <w:r>
        <w:t xml:space="preserve">) is three orders of magnitude smaller than the raw features’ but five orders larger than the standardized features’. Its convergence falls between the two: it permits steps about</w:t>
      </w:r>
      <w:r>
        <w:t xml:space="preserve"> </w:t>
      </w:r>
      <m:oMath>
        <m:sSup>
          <m:e>
            <m:r>
              <m:t>10</m:t>
            </m:r>
          </m:e>
          <m:sup>
            <m:r>
              <m:t>4</m:t>
            </m:r>
          </m:sup>
        </m:sSup>
      </m:oMath>
      <w:r>
        <w:t xml:space="preserve"> </w:t>
      </w:r>
      <w:r>
        <w:t xml:space="preserve">times larger than the raw model and passes the raw model’s optimal loss within about 200 iterations. It was still 8.2% above its own optimum after 5,000 iterations. The log compresses each feature’s range but does not center it. For example,</w:t>
      </w:r>
      <w:r>
        <w:t xml:space="preserve"> </w:t>
      </w:r>
      <m:oMath>
        <m:r>
          <m:rPr>
            <m:sty m:val="p"/>
          </m:rPr>
          <m:t>ln</m:t>
        </m:r>
        <m:r>
          <m:rPr>
            <m:sty m:val="p"/>
          </m:rPr>
          <m:t>(</m:t>
        </m:r>
        <m:r>
          <m:rPr>
            <m:nor/>
            <m:sty m:val="p"/>
          </m:rPr>
          <m:t>coarse aggregate</m:t>
        </m:r>
        <m:r>
          <m:rPr>
            <m:sty m:val="p"/>
          </m:rPr>
          <m:t>+</m:t>
        </m:r>
        <m:r>
          <m:t>1</m:t>
        </m:r>
        <m:r>
          <m:rPr>
            <m:sty m:val="p"/>
          </m:rPr>
          <m:t>)</m:t>
        </m:r>
      </m:oMath>
      <w:r>
        <w:t xml:space="preserve"> </w:t>
      </w:r>
      <w:r>
        <w:t xml:space="preserve">only spans 6.69–7.04, so it is almost a constant column and nearly collinear with the intercept. Standardizing after the log transform would remove this problem. Stability behaved exactly as for the other feature sets, with a sharp threshold at</w:t>
      </w:r>
      <w:r>
        <w:t xml:space="preserve"> </w:t>
      </w:r>
      <m:oMath>
        <m:r>
          <m:t>2</m:t>
        </m:r>
        <m:r>
          <m:rPr>
            <m:sty m:val="p"/>
          </m:rPr>
          <m:t>/</m:t>
        </m:r>
        <m:sSub>
          <m:e>
            <m:r>
              <m:t>λ</m:t>
            </m:r>
          </m:e>
          <m:sub>
            <m:r>
              <m:rPr>
                <m:sty m:val="p"/>
              </m:rPr>
              <m:t>max</m:t>
            </m:r>
          </m:sub>
        </m:sSub>
      </m:oMath>
      <w:r>
        <w:t xml:space="preserve">.</w:t>
      </w:r>
    </w:p>
    <w:p>
      <w:pPr>
        <w:pStyle w:val="CaptionedFigure"/>
        <w:keepNext/>
      </w:pPr>
      <w:r>
        <w:drawing>
          <wp:inline>
            <wp:extent cx="5943600" cy="2677548"/>
            <wp:effectExtent b="0" l="0" r="0" t="0"/>
            <wp:docPr descr="Figure 2. Updated convergence figure including log-transformed features. Panel layout as in Figure 1; the lower gray line in (a) is the optimum of the log-transformed model." title="" id="24" name="Picture"/>
            <a:graphic>
              <a:graphicData uri="http://schemas.openxmlformats.org/drawingml/2006/picture">
                <pic:pic>
                  <pic:nvPicPr>
                    <pic:cNvPr descr="../assets/figures/convergence_log_transform.png" id="25" name="Picture"/>
                    <pic:cNvPicPr>
                      <a:picLocks noChangeArrowheads="1" noChangeAspect="1"/>
                    </pic:cNvPicPr>
                  </pic:nvPicPr>
                  <pic:blipFill>
                    <a:blip r:embed="rId23"/>
                    <a:stretch>
                      <a:fillRect/>
                    </a:stretch>
                  </pic:blipFill>
                  <pic:spPr bwMode="auto">
                    <a:xfrm>
                      <a:off x="0" y="0"/>
                      <a:ext cx="5943600" cy="2677548"/>
                    </a:xfrm>
                    <a:prstGeom prst="rect">
                      <a:avLst/>
                    </a:prstGeom>
                    <a:noFill/>
                    <a:ln w="9525">
                      <a:noFill/>
                      <a:headEnd/>
                      <a:tailEnd/>
                    </a:ln>
                  </pic:spPr>
                </pic:pic>
              </a:graphicData>
            </a:graphic>
          </wp:inline>
        </w:drawing>
      </w:r>
    </w:p>
    <w:p>
      <w:pPr>
        <w:pStyle w:val="ImageCaption"/>
      </w:pPr>
      <w:r>
        <w:rPr>
          <w:b/>
          <w:bCs/>
        </w:rPr>
        <w:t xml:space="preserve">Figure 2.</w:t>
      </w:r>
      <w:r>
        <w:t xml:space="preserve"> </w:t>
      </w:r>
      <w:r>
        <w:t xml:space="preserve">Updated convergence figure including log-transformed features. Panel layout as in Figure 1; the lower gray line in (a) is the optimum of the log-transformed model.</w:t>
      </w:r>
    </w:p>
    <w:p>
      <w:pPr>
        <w:pStyle w:val="TableCaption"/>
      </w:pPr>
      <w:r>
        <w:rPr>
          <w:b/>
          <w:bCs/>
        </w:rPr>
        <w:t xml:space="preserve">Table 4.</w:t>
      </w:r>
      <w:r>
        <w:t xml:space="preserve"> </w:t>
      </w:r>
      <w:r>
        <w:t xml:space="preserve">Summary of the three closed-form optimal models (scikit-learn</w:t>
      </w:r>
      <w:r>
        <w:t xml:space="preserve"> </w:t>
      </w:r>
      <w:r>
        <w:rPr>
          <w:rStyle w:val="VerbatimChar"/>
        </w:rPr>
        <w:t xml:space="preserve">LinearRegression</w:t>
      </w:r>
      <w:r>
        <w:t xml:space="preserve">).</w:t>
      </w:r>
    </w:p>
    <w:tbl>
      <w:tblPr>
        <w:tblStyle w:val="Table"/>
        <w:tblW w:type="dxa" w:w="6952"/>
        <w:jc w:val="center"/>
        <w:tblBorders>
          <w:top w:val="single" w:sz="8" w:space="0" w:color="1F3A5F"/>
          <w:left w:val="nil"/>
          <w:bottom w:val="single" w:sz="8" w:space="0" w:color="1F3A5F"/>
          <w:right w:val="nil"/>
          <w:insideH w:val="single" w:sz="2" w:space="0" w:color="D0D0D0"/>
          <w:insideV w:val="nil"/>
        </w:tblBorders>
        <w:tblLayout w:type="fixed"/>
        <w:tblCellMar>
          <w:top w:w="30" w:type="dxa"/>
          <w:left w:w="80" w:type="dxa"/>
          <w:bottom w:w="30" w:type="dxa"/>
          <w:right w:w="80" w:type="dxa"/>
        </w:tblCellMar>
        <w:tblLook w:firstRow="1" w:lastRow="0" w:firstColumn="0" w:lastColumn="0" w:noHBand="0" w:noVBand="0" w:val="0020"/>
        <w:tblCaption w:val="Table 4. Summary of the three closed-form optimal models (scikit-learn LinearRegression)."/>
      </w:tblPr>
      <w:tblGrid>
        <w:gridCol w:w="2156"/>
        <w:gridCol w:w="1232"/>
        <w:gridCol w:w="1232"/>
        <w:gridCol w:w="1232"/>
        <w:gridCol w:w="1100"/>
      </w:tblGrid>
      <w:tr>
        <w:trPr>
          <w:cantSplit/>
          <w:tblHeader w:val="on"/>
        </w:trPr>
        <w:tc>
          <w:tcPr>
            <w:tcW w:w="2156" w:type="dxa"/>
            <w:tcBorders>
              <w:bottom w:val="single" w:sz="6" w:space="0" w:color="1F3A5F"/>
            </w:tcBorders>
            <w:shd w:val="clear" w:color="auto" w:fill="E9EEF5"/>
            <w:vAlign w:val="bottom"/>
          </w:tcPr>
          <w:p>
            <w:pPr>
              <w:pStyle w:val="Compact"/>
              <w:keepNext/>
              <w:spacing w:before="0" w:after="0" w:line="276" w:lineRule="auto"/>
              <w:jc w:val="left"/>
            </w:pPr>
            <w:r>
              <w:rPr>
                <w:b/>
                <w:sz w:val="22"/>
              </w:rPr>
              <w:t xml:space="preserve">Model</w:t>
            </w:r>
          </w:p>
        </w:tc>
        <w:tc>
          <w:tcPr>
            <w:tcW w:w="1232" w:type="dxa"/>
            <w:tcBorders>
              <w:bottom w:val="single" w:sz="6" w:space="0" w:color="1F3A5F"/>
            </w:tcBorders>
            <w:shd w:val="clear" w:color="auto" w:fill="E9EEF5"/>
            <w:vAlign w:val="bottom"/>
          </w:tcPr>
          <w:p>
            <w:pPr>
              <w:pStyle w:val="Compact"/>
              <w:keepNext/>
              <w:spacing w:before="0" w:after="0" w:line="276" w:lineRule="auto"/>
              <w:jc w:val="right"/>
            </w:pPr>
            <w:r>
              <w:rPr>
                <w:b/>
                <w:sz w:val="22"/>
              </w:rPr>
              <w:t xml:space="preserve">Training MSE</w:t>
            </w:r>
          </w:p>
        </w:tc>
        <w:tc>
          <w:tcPr>
            <w:tcW w:w="1232" w:type="dxa"/>
            <w:tcBorders>
              <w:bottom w:val="single" w:sz="6" w:space="0" w:color="1F3A5F"/>
            </w:tcBorders>
            <w:shd w:val="clear" w:color="auto" w:fill="E9EEF5"/>
            <w:vAlign w:val="bottom"/>
          </w:tcPr>
          <w:p>
            <w:pPr>
              <w:pStyle w:val="Compact"/>
              <w:keepNext/>
              <w:spacing w:before="0" w:after="0" w:line="276" w:lineRule="auto"/>
              <w:jc w:val="right"/>
            </w:pPr>
            <w:r>
              <w:rPr>
                <w:b/>
                <w:sz w:val="22"/>
              </w:rPr>
              <w:t xml:space="preserve">Testing MSE</w:t>
            </w:r>
          </w:p>
        </w:tc>
        <w:tc>
          <w:tcPr>
            <w:tcW w:w="1232" w:type="dxa"/>
            <w:tcBorders>
              <w:bottom w:val="single" w:sz="6" w:space="0" w:color="1F3A5F"/>
            </w:tcBorders>
            <w:shd w:val="clear" w:color="auto" w:fill="E9EEF5"/>
            <w:vAlign w:val="bottom"/>
          </w:tcPr>
          <w:p>
            <w:pPr>
              <w:pStyle w:val="Compact"/>
              <w:keepNext/>
              <w:spacing w:before="0" w:after="0" w:line="276" w:lineRule="auto"/>
              <w:jc w:val="right"/>
            </w:pPr>
            <w:r>
              <w:rPr>
                <w:b/>
                <w:sz w:val="22"/>
              </w:rPr>
              <w:t xml:space="preserve">Training</w:t>
            </w:r>
            <w:r>
              <w:rPr>
                <w:b/>
                <w:sz w:val="22"/>
              </w:rPr>
              <w:t xml:space="preserve"> </w:t>
            </w:r>
            <m:oMath>
              <m:sSup>
                <m:e>
                  <m:r>
                    <w:rPr>
                      <w:sz w:val="22"/>
                      <w:szCs w:val="22"/>
                    </w:rPr>
                    <m:t>R</m:t>
                  </m:r>
                </m:e>
                <m:sup>
                  <m:r>
                    <w:rPr>
                      <w:sz w:val="22"/>
                      <w:szCs w:val="22"/>
                    </w:rPr>
                    <m:t>2</m:t>
                  </m:r>
                </m:sup>
              </m:sSup>
            </m:oMath>
          </w:p>
        </w:tc>
        <w:tc>
          <w:tcPr>
            <w:tcW w:w="1100" w:type="dxa"/>
            <w:tcBorders>
              <w:bottom w:val="single" w:sz="6" w:space="0" w:color="1F3A5F"/>
            </w:tcBorders>
            <w:shd w:val="clear" w:color="auto" w:fill="E9EEF5"/>
            <w:vAlign w:val="bottom"/>
          </w:tcPr>
          <w:p>
            <w:pPr>
              <w:pStyle w:val="Compact"/>
              <w:keepNext/>
              <w:spacing w:before="0" w:after="0" w:line="276" w:lineRule="auto"/>
              <w:jc w:val="right"/>
            </w:pPr>
            <w:r>
              <w:rPr>
                <w:b/>
                <w:sz w:val="22"/>
              </w:rPr>
              <w:t xml:space="preserve">Testing</w:t>
            </w:r>
            <w:r>
              <w:rPr>
                <w:b/>
                <w:sz w:val="22"/>
              </w:rPr>
              <w:t xml:space="preserve"> </w:t>
            </w:r>
            <m:oMath>
              <m:sSup>
                <m:e>
                  <m:r>
                    <w:rPr>
                      <w:sz w:val="22"/>
                      <w:szCs w:val="22"/>
                    </w:rPr>
                    <m:t>R</m:t>
                  </m:r>
                </m:e>
                <m:sup>
                  <m:r>
                    <w:rPr>
                      <w:sz w:val="22"/>
                      <w:szCs w:val="22"/>
                    </w:rPr>
                    <m:t>2</m:t>
                  </m:r>
                </m:sup>
              </m:sSup>
            </m:oMath>
          </w:p>
        </w:tc>
      </w:tr>
      <w:tr>
        <w:trPr>
          <w:cantSplit/>
        </w:trPr>
        <w:tc>
          <w:tcPr>
            <w:tcW w:w="2156" w:type="dxa"/>
          </w:tcPr>
          <w:p>
            <w:pPr>
              <w:pStyle w:val="Compact"/>
              <w:keepNext/>
              <w:spacing w:before="0" w:after="0" w:line="276" w:lineRule="auto"/>
              <w:jc w:val="left"/>
            </w:pPr>
            <w:r>
              <w:rPr>
                <w:sz w:val="22"/>
              </w:rPr>
              <w:t xml:space="preserve">Untransformed</w:t>
            </w:r>
          </w:p>
        </w:tc>
        <w:tc>
          <w:tcPr>
            <w:tcW w:w="1232" w:type="dxa"/>
          </w:tcPr>
          <w:p>
            <w:pPr>
              <w:pStyle w:val="Compact"/>
              <w:keepNext/>
              <w:spacing w:before="0" w:after="0" w:line="276" w:lineRule="auto"/>
              <w:jc w:val="right"/>
            </w:pPr>
            <w:r>
              <w:rPr>
                <w:sz w:val="22"/>
              </w:rPr>
              <w:t xml:space="preserve">104.1437</w:t>
            </w:r>
          </w:p>
        </w:tc>
        <w:tc>
          <w:tcPr>
            <w:tcW w:w="1232" w:type="dxa"/>
          </w:tcPr>
          <w:p>
            <w:pPr>
              <w:pStyle w:val="Compact"/>
              <w:keepNext/>
              <w:spacing w:before="0" w:after="0" w:line="276" w:lineRule="auto"/>
              <w:jc w:val="right"/>
            </w:pPr>
            <w:r>
              <w:rPr>
                <w:sz w:val="22"/>
              </w:rPr>
              <w:t xml:space="preserve">141.3139</w:t>
            </w:r>
          </w:p>
        </w:tc>
        <w:tc>
          <w:tcPr>
            <w:tcW w:w="1232" w:type="dxa"/>
          </w:tcPr>
          <w:p>
            <w:pPr>
              <w:pStyle w:val="Compact"/>
              <w:keepNext/>
              <w:spacing w:before="0" w:after="0" w:line="276" w:lineRule="auto"/>
              <w:jc w:val="right"/>
            </w:pPr>
            <w:r>
              <w:rPr>
                <w:sz w:val="22"/>
              </w:rPr>
              <w:t xml:space="preserve">0.6240</w:t>
            </w:r>
          </w:p>
        </w:tc>
        <w:tc>
          <w:tcPr>
            <w:tcW w:w="1100" w:type="dxa"/>
          </w:tcPr>
          <w:p>
            <w:pPr>
              <w:pStyle w:val="Compact"/>
              <w:keepNext/>
              <w:spacing w:before="0" w:after="0" w:line="276" w:lineRule="auto"/>
              <w:jc w:val="right"/>
            </w:pPr>
            <w:r>
              <w:rPr>
                <w:sz w:val="22"/>
              </w:rPr>
              <w:t xml:space="preserve">0.3685</w:t>
            </w:r>
          </w:p>
        </w:tc>
      </w:tr>
      <w:tr>
        <w:trPr>
          <w:cantSplit/>
        </w:trPr>
        <w:tc>
          <w:tcPr>
            <w:tcW w:w="2156" w:type="dxa"/>
          </w:tcPr>
          <w:p>
            <w:pPr>
              <w:pStyle w:val="Compact"/>
              <w:keepNext/>
              <w:spacing w:before="0" w:after="0" w:line="276" w:lineRule="auto"/>
              <w:jc w:val="left"/>
            </w:pPr>
            <w:r>
              <w:rPr>
                <w:sz w:val="22"/>
              </w:rPr>
              <w:t xml:space="preserve">Standardized</w:t>
            </w:r>
          </w:p>
        </w:tc>
        <w:tc>
          <w:tcPr>
            <w:tcW w:w="1232" w:type="dxa"/>
          </w:tcPr>
          <w:p>
            <w:pPr>
              <w:pStyle w:val="Compact"/>
              <w:keepNext/>
              <w:spacing w:before="0" w:after="0" w:line="276" w:lineRule="auto"/>
              <w:jc w:val="right"/>
            </w:pPr>
            <w:r>
              <w:rPr>
                <w:sz w:val="22"/>
              </w:rPr>
              <w:t xml:space="preserve">104.1437</w:t>
            </w:r>
          </w:p>
        </w:tc>
        <w:tc>
          <w:tcPr>
            <w:tcW w:w="1232" w:type="dxa"/>
          </w:tcPr>
          <w:p>
            <w:pPr>
              <w:pStyle w:val="Compact"/>
              <w:keepNext/>
              <w:spacing w:before="0" w:after="0" w:line="276" w:lineRule="auto"/>
              <w:jc w:val="right"/>
            </w:pPr>
            <w:r>
              <w:rPr>
                <w:sz w:val="22"/>
              </w:rPr>
              <w:t xml:space="preserve">141.3139</w:t>
            </w:r>
          </w:p>
        </w:tc>
        <w:tc>
          <w:tcPr>
            <w:tcW w:w="1232" w:type="dxa"/>
          </w:tcPr>
          <w:p>
            <w:pPr>
              <w:pStyle w:val="Compact"/>
              <w:keepNext/>
              <w:spacing w:before="0" w:after="0" w:line="276" w:lineRule="auto"/>
              <w:jc w:val="right"/>
            </w:pPr>
            <w:r>
              <w:rPr>
                <w:sz w:val="22"/>
              </w:rPr>
              <w:t xml:space="preserve">0.6240</w:t>
            </w:r>
          </w:p>
        </w:tc>
        <w:tc>
          <w:tcPr>
            <w:tcW w:w="1100" w:type="dxa"/>
          </w:tcPr>
          <w:p>
            <w:pPr>
              <w:pStyle w:val="Compact"/>
              <w:keepNext/>
              <w:spacing w:before="0" w:after="0" w:line="276" w:lineRule="auto"/>
              <w:jc w:val="right"/>
            </w:pPr>
            <w:r>
              <w:rPr>
                <w:sz w:val="22"/>
              </w:rPr>
              <w:t xml:space="preserve">0.3685</w:t>
            </w:r>
          </w:p>
        </w:tc>
      </w:tr>
      <w:tr>
        <w:trPr>
          <w:cantSplit/>
        </w:trPr>
        <w:tc>
          <w:tcPr>
            <w:tcW w:w="2156" w:type="dxa"/>
          </w:tcPr>
          <w:p>
            <w:pPr>
              <w:pStyle w:val="Compact"/>
              <w:spacing w:before="0" w:after="0" w:line="276" w:lineRule="auto"/>
              <w:jc w:val="left"/>
            </w:pPr>
            <w:r>
              <w:rPr>
                <w:sz w:val="22"/>
              </w:rPr>
              <w:t xml:space="preserve">Log-transformed</w:t>
            </w:r>
          </w:p>
        </w:tc>
        <w:tc>
          <w:tcPr>
            <w:tcW w:w="1232" w:type="dxa"/>
          </w:tcPr>
          <w:p>
            <w:pPr>
              <w:pStyle w:val="Compact"/>
              <w:spacing w:before="0" w:after="0" w:line="276" w:lineRule="auto"/>
              <w:jc w:val="right"/>
            </w:pPr>
            <w:r>
              <w:rPr>
                <w:sz w:val="22"/>
              </w:rPr>
              <w:t xml:space="preserve">55.8324</w:t>
            </w:r>
          </w:p>
        </w:tc>
        <w:tc>
          <w:tcPr>
            <w:tcW w:w="1232" w:type="dxa"/>
          </w:tcPr>
          <w:p>
            <w:pPr>
              <w:pStyle w:val="Compact"/>
              <w:spacing w:before="0" w:after="0" w:line="276" w:lineRule="auto"/>
              <w:jc w:val="right"/>
            </w:pPr>
            <w:r>
              <w:rPr>
                <w:sz w:val="22"/>
              </w:rPr>
              <w:t xml:space="preserve">54.3849</w:t>
            </w:r>
          </w:p>
        </w:tc>
        <w:tc>
          <w:tcPr>
            <w:tcW w:w="1232" w:type="dxa"/>
          </w:tcPr>
          <w:p>
            <w:pPr>
              <w:pStyle w:val="Compact"/>
              <w:spacing w:before="0" w:after="0" w:line="276" w:lineRule="auto"/>
              <w:jc w:val="right"/>
            </w:pPr>
            <w:r>
              <w:rPr>
                <w:sz w:val="22"/>
              </w:rPr>
              <w:t xml:space="preserve">0.7984</w:t>
            </w:r>
          </w:p>
        </w:tc>
        <w:tc>
          <w:tcPr>
            <w:tcW w:w="1100" w:type="dxa"/>
          </w:tcPr>
          <w:p>
            <w:pPr>
              <w:pStyle w:val="Compact"/>
              <w:spacing w:before="0" w:after="0" w:line="276" w:lineRule="auto"/>
              <w:jc w:val="right"/>
            </w:pPr>
            <w:r>
              <w:rPr>
                <w:sz w:val="22"/>
              </w:rPr>
              <w:t xml:space="preserve">0.7570</w:t>
            </w:r>
          </w:p>
        </w:tc>
      </w:tr>
    </w:tbl>
    <w:p>
      <w:pPr>
        <w:pStyle w:val="BodyText"/>
        <w:spacing w:before="200"/>
      </w:pPr>
      <w:r>
        <w:rPr>
          <w:b/>
          <w:bCs/>
        </w:rPr>
        <w:t xml:space="preserve">Impact on the optimal solution.</w:t>
      </w:r>
      <w:r>
        <w:t xml:space="preserve"> </w:t>
      </w:r>
      <w:r>
        <w:t xml:space="preserve">Two separate effects are easy to conflate here. For each feature representation, the MSE objective is convex and the closed-form solution is its global minimizer. Differences in Table 4 therefore reflect what each model can express, while differences in Figures 1 and 2 reflect only how quickly gradient descent reaches that minimizer. Unlike standardization, the log transform changes the function class, not just its coordinates. The model becomes</w:t>
      </w:r>
      <w:r>
        <w:t xml:space="preserve"> </w:t>
      </w:r>
      <m:oMath>
        <m:acc>
          <m:accPr>
            <m:chr m:val="̂"/>
          </m:accPr>
          <m:e>
            <m:r>
              <m:t>y</m:t>
            </m:r>
          </m:e>
        </m:acc>
        <m:r>
          <m:rPr>
            <m:sty m:val="p"/>
          </m:rPr>
          <m:t>=</m:t>
        </m:r>
        <m:r>
          <m:t>b</m:t>
        </m:r>
        <m:r>
          <m:rPr>
            <m:sty m:val="p"/>
          </m:rPr>
          <m:t>+</m:t>
        </m:r>
        <m:nary>
          <m:naryPr>
            <m:chr m:val="∑"/>
            <m:limLoc m:val="undOvr"/>
            <m:subHide m:val="off"/>
            <m:supHide m:val="on"/>
          </m:naryPr>
          <m:sub>
            <m:r>
              <m:t>j</m:t>
            </m:r>
          </m:sub>
          <m:sup>
            <m:r>
              <m:t>​</m:t>
            </m:r>
          </m:sup>
          <m:e>
            <m:sSub>
              <m:e>
                <m:r>
                  <m:t>w</m:t>
                </m:r>
              </m:e>
              <m:sub>
                <m:r>
                  <m:t>j</m:t>
                </m:r>
              </m:sub>
            </m:sSub>
          </m:e>
        </m:nary>
        <m:r>
          <m:rPr>
            <m:sty m:val="p"/>
          </m:rPr>
          <m:t>ln</m:t>
        </m:r>
        <m:r>
          <m:rPr>
            <m:sty m:val="p"/>
          </m:rPr>
          <m:t>(</m:t>
        </m:r>
        <m:sSub>
          <m:e>
            <m:r>
              <m:t>x</m:t>
            </m:r>
          </m:e>
          <m:sub>
            <m:r>
              <m:t>j</m:t>
            </m:r>
          </m:sub>
        </m:sSub>
        <m:r>
          <m:rPr>
            <m:sty m:val="p"/>
          </m:rPr>
          <m:t>+</m:t>
        </m:r>
        <m:r>
          <m:t>1</m:t>
        </m:r>
        <m:r>
          <m:rPr>
            <m:sty m:val="p"/>
          </m:rPr>
          <m:t>)</m:t>
        </m:r>
      </m:oMath>
      <w:r>
        <w:t xml:space="preserve">, which is multiplicative in the raw inputs. The cement and water terms can be rewritten as</w:t>
      </w:r>
      <w:r>
        <w:t xml:space="preserve"> </w:t>
      </w:r>
      <m:oMath>
        <m:r>
          <m:t>23.6</m:t>
        </m:r>
        <m:r>
          <m:rPr>
            <m:sty m:val="p"/>
          </m:rPr>
          <m:t>ln</m:t>
        </m:r>
        <m:r>
          <m:t>C</m:t>
        </m:r>
        <m:r>
          <m:rPr>
            <m:sty m:val="p"/>
          </m:rPr>
          <m:t>−</m:t>
        </m:r>
        <m:r>
          <m:t>38.3</m:t>
        </m:r>
        <m:r>
          <m:rPr>
            <m:sty m:val="p"/>
          </m:rPr>
          <m:t>ln</m:t>
        </m:r>
        <m:r>
          <m:t>W</m:t>
        </m:r>
        <m:r>
          <m:rPr>
            <m:sty m:val="p"/>
          </m:rPr>
          <m:t>=</m:t>
        </m:r>
        <m:r>
          <m:t>23.6</m:t>
        </m:r>
        <m:r>
          <m:rPr>
            <m:sty m:val="p"/>
          </m:rPr>
          <m:t>ln</m:t>
        </m:r>
        <m:r>
          <m:rPr>
            <m:sty m:val="p"/>
          </m:rPr>
          <m:t>(</m:t>
        </m:r>
        <m:r>
          <m:t>C</m:t>
        </m:r>
        <m:r>
          <m:rPr>
            <m:sty m:val="p"/>
          </m:rPr>
          <m:t>/</m:t>
        </m:r>
        <m:r>
          <m:t>W</m:t>
        </m:r>
        <m:r>
          <m:rPr>
            <m:sty m:val="p"/>
          </m:rPr>
          <m:t>)</m:t>
        </m:r>
        <m:r>
          <m:rPr>
            <m:sty m:val="p"/>
          </m:rPr>
          <m:t>−</m:t>
        </m:r>
        <m:r>
          <m:t>14.7</m:t>
        </m:r>
        <m:r>
          <m:rPr>
            <m:sty m:val="p"/>
          </m:rPr>
          <m:t>ln</m:t>
        </m:r>
        <m:r>
          <m:t>W</m:t>
        </m:r>
      </m:oMath>
      <w:r>
        <w:t xml:space="preserve">, which shows that most of their effect runs through the water-to-cement ratio, consistent with Abrams’ law. The age term now describes strength gains that slow over time. Table 4 shows the consequences: training</w:t>
      </w:r>
      <w:r>
        <w:t xml:space="preserve"> </w:t>
      </w:r>
      <m:oMath>
        <m:sSup>
          <m:e>
            <m:r>
              <m:t>R</m:t>
            </m:r>
          </m:e>
          <m:sup>
            <m:r>
              <m:t>2</m:t>
            </m:r>
          </m:sup>
        </m:sSup>
      </m:oMath>
      <w:r>
        <w:t xml:space="preserve"> </w:t>
      </w:r>
      <w:r>
        <w:t xml:space="preserve">rises from 0.624 to 0.798, and testing</w:t>
      </w:r>
      <w:r>
        <w:t xml:space="preserve"> </w:t>
      </w:r>
      <m:oMath>
        <m:sSup>
          <m:e>
            <m:r>
              <m:t>R</m:t>
            </m:r>
          </m:e>
          <m:sup>
            <m:r>
              <m:t>2</m:t>
            </m:r>
          </m:sup>
        </m:sSup>
      </m:oMath>
      <w:r>
        <w:t xml:space="preserve"> </w:t>
      </w:r>
      <w:r>
        <w:t xml:space="preserve">from 0.369 to 0.757. The train–test gap shrinks from 0.256 to 0.041.</w:t>
      </w:r>
    </w:p>
    <w:p>
      <w:pPr>
        <w:pStyle w:val="BodyText"/>
      </w:pPr>
      <w:r>
        <w:t xml:space="preserve">The improvement on test data is larger than on training data because the held-out rows differ from the training rows. Only 24% of test mixes contain superplasticizer (69% in training), and their mean strength is 28.1 MPa versus 36.9 MPa. A raw linear model extrapolates these differences proportionally, whereas the log scale dampens them. As an aside, the early-stopped gradient descent log model scored a slightly higher test</w:t>
      </w:r>
      <w:r>
        <w:t xml:space="preserve"> </w:t>
      </w:r>
      <m:oMath>
        <m:sSup>
          <m:e>
            <m:r>
              <m:t>R</m:t>
            </m:r>
          </m:e>
          <m:sup>
            <m:r>
              <m:t>2</m:t>
            </m:r>
          </m:sup>
        </m:sSup>
      </m:oMath>
      <w:r>
        <w:t xml:space="preserve"> </w:t>
      </w:r>
      <w:r>
        <w:t xml:space="preserve">(0.783) than its closed-form optimum, a mild implicit-regularization effect. The summary table nonetheless reports the optimum, as required.</w:t>
      </w:r>
    </w:p>
    <w:bookmarkEnd w:id="26"/>
    <w:bookmarkStart w:id="33" w:name="X4954378884ea5e5822869ae79ccccfb39a342bf"/>
    <w:p>
      <w:pPr>
        <w:pStyle w:val="Heading1"/>
      </w:pPr>
      <w:r>
        <w:t xml:space="preserve">Univariate vs. Multivariate Model Dynamics</w:t>
      </w:r>
    </w:p>
    <w:p>
      <w:pPr>
        <w:pStyle w:val="FirstParagraph"/>
      </w:pPr>
      <w:r>
        <w:rPr>
          <w:b/>
          <w:bCs/>
        </w:rPr>
        <w:t xml:space="preserve">Approach.</w:t>
      </w:r>
      <w:r>
        <w:t xml:space="preserve"> </w:t>
      </w:r>
      <w:r>
        <w:t xml:space="preserve">We trained eight univariate models</w:t>
      </w:r>
      <w:r>
        <w:t xml:space="preserve"> </w:t>
      </w:r>
      <m:oMath>
        <m:r>
          <m:t>y</m:t>
        </m:r>
        <m:r>
          <m:rPr>
            <m:sty m:val="p"/>
          </m:rPr>
          <m:t>=</m:t>
        </m:r>
        <m:sSub>
          <m:e>
            <m:r>
              <m:t>m</m:t>
            </m:r>
          </m:e>
          <m:sub>
            <m:r>
              <m:t>i</m:t>
            </m:r>
          </m:sub>
        </m:sSub>
        <m:sSub>
          <m:e>
            <m:r>
              <m:t>x</m:t>
            </m:r>
          </m:e>
          <m:sub>
            <m:r>
              <m:t>i</m:t>
            </m:r>
          </m:sub>
        </m:sSub>
        <m:r>
          <m:rPr>
            <m:sty m:val="p"/>
          </m:rPr>
          <m:t>+</m:t>
        </m:r>
        <m:r>
          <m:t>b</m:t>
        </m:r>
      </m:oMath>
      <w:r>
        <w:t xml:space="preserve">, one per raw predictor. Each used the largest learning rate of the form</w:t>
      </w:r>
      <w:r>
        <w:t xml:space="preserve"> </w:t>
      </w:r>
      <m:oMath>
        <m:r>
          <m:rPr>
            <m:sty m:val="p"/>
          </m:rPr>
          <m:t>{</m:t>
        </m:r>
        <m:r>
          <m:t>1</m:t>
        </m:r>
        <m:r>
          <m:rPr>
            <m:sty m:val="p"/>
          </m:rPr>
          <m:t>,</m:t>
        </m:r>
        <m:r>
          <m:t>2</m:t>
        </m:r>
        <m:r>
          <m:rPr>
            <m:sty m:val="p"/>
          </m:rPr>
          <m:t>,</m:t>
        </m:r>
        <m:r>
          <m:t>5</m:t>
        </m:r>
        <m:r>
          <m:rPr>
            <m:sty m:val="p"/>
          </m:rPr>
          <m:t>}</m:t>
        </m:r>
        <m:r>
          <m:rPr>
            <m:sty m:val="p"/>
          </m:rPr>
          <m:t>×</m:t>
        </m:r>
        <m:sSup>
          <m:e>
            <m:r>
              <m:t>10</m:t>
            </m:r>
          </m:e>
          <m:sup>
            <m:r>
              <m:t>k</m:t>
            </m:r>
          </m:sup>
        </m:sSup>
      </m:oMath>
      <w:r>
        <w:t xml:space="preserve"> </w:t>
      </w:r>
      <w:r>
        <w:t xml:space="preserve">below its own</w:t>
      </w:r>
      <w:r>
        <w:t xml:space="preserve"> </w:t>
      </w:r>
      <m:oMath>
        <m:r>
          <m:t>2</m:t>
        </m:r>
        <m:r>
          <m:rPr>
            <m:sty m:val="p"/>
          </m:rPr>
          <m:t>/</m:t>
        </m:r>
        <m:sSub>
          <m:e>
            <m:r>
              <m:t>λ</m:t>
            </m:r>
          </m:e>
          <m:sub>
            <m:r>
              <m:rPr>
                <m:sty m:val="p"/>
              </m:rPr>
              <m:t>max</m:t>
            </m:r>
          </m:sub>
        </m:sSub>
      </m:oMath>
      <w:r>
        <w:t xml:space="preserve">, starting from</w:t>
      </w:r>
      <w:r>
        <w:t xml:space="preserve"> </w:t>
      </w:r>
      <m:oMath>
        <m:r>
          <m:rPr>
            <m:sty m:val="b"/>
          </m:rPr>
          <m:t>θ</m:t>
        </m:r>
        <m:r>
          <m:rPr>
            <m:sty m:val="p"/>
          </m:rPr>
          <m:t>=</m:t>
        </m:r>
        <m:r>
          <m:rPr>
            <m:sty m:val="b"/>
          </m:rPr>
          <m:t>0</m:t>
        </m:r>
      </m:oMath>
      <w:r>
        <w:t xml:space="preserve">, with the 5,000-iteration budget. An extended 50,000-iteration run tracked the slower models. Where even that budget was insufficient, we computed the exact number of updates needed from the closed-form recursion</w:t>
      </w:r>
      <w:r>
        <w:t xml:space="preserve"> </w:t>
      </w:r>
      <m:oMath>
        <m:r>
          <m:rPr>
            <m:sty m:val="p"/>
          </m:rPr>
          <m:t>(</m:t>
        </m:r>
        <m:r>
          <m:t>I</m:t>
        </m:r>
        <m:r>
          <m:rPr>
            <m:sty m:val="p"/>
          </m:rPr>
          <m:t>−</m:t>
        </m:r>
        <m:r>
          <m:t>α</m:t>
        </m:r>
        <m:r>
          <m:t>H</m:t>
        </m:r>
        <m:sSup>
          <m:e>
            <m:r>
              <m:rPr>
                <m:sty m:val="p"/>
              </m:rPr>
              <m:t>)</m:t>
            </m:r>
          </m:e>
          <m:sup>
            <m:r>
              <m:t>t</m:t>
            </m:r>
          </m:sup>
        </m:sSup>
      </m:oMath>
      <w:r>
        <w:t xml:space="preserve"> </w:t>
      </w:r>
      <w:r>
        <w:t xml:space="preserve">given above; it reproduces the observed counts wherever both are available. Results appear in Table 5 and Figure 3.</w:t>
      </w:r>
    </w:p>
    <w:p>
      <w:pPr>
        <w:pStyle w:val="TableCaption"/>
      </w:pPr>
      <w:r>
        <w:rPr>
          <w:b/>
          <w:bCs/>
        </w:rPr>
        <w:t xml:space="preserve">Table 5.</w:t>
      </w:r>
      <w:r>
        <w:t xml:space="preserve"> </w:t>
      </w:r>
      <w:r>
        <w:t xml:space="preserve">Univariate gradient descent on raw predictors (training set), ordered from easiest to hardest.</w:t>
      </w:r>
      <w:r>
        <w:t xml:space="preserve"> </w:t>
      </w:r>
      <w:r>
        <w:t xml:space="preserve">“Optimal”</w:t>
      </w:r>
      <w:r>
        <w:t xml:space="preserve"> </w:t>
      </w:r>
      <w:r>
        <w:t xml:space="preserve">is the closed-form</w:t>
      </w:r>
      <w:r>
        <w:t xml:space="preserve"> </w:t>
      </w:r>
      <w:r>
        <w:rPr>
          <w:rStyle w:val="VerbatimChar"/>
        </w:rPr>
        <w:t xml:space="preserve">LinearRegression</w:t>
      </w:r>
      <w:r>
        <w:t xml:space="preserve"> </w:t>
      </w:r>
      <w:r>
        <w:t xml:space="preserve">fit. † Updates computed from the gradient descent recursion because they exceed the 50,000-iteration run.</w:t>
      </w:r>
    </w:p>
    <w:tbl>
      <w:tblPr>
        <w:tblStyle w:val="Table"/>
        <w:tblW w:type="dxa" w:w="9356"/>
        <w:jc w:val="center"/>
        <w:tblBorders>
          <w:top w:val="single" w:sz="8" w:space="0" w:color="1F3A5F"/>
          <w:left w:val="nil"/>
          <w:bottom w:val="single" w:sz="8" w:space="0" w:color="1F3A5F"/>
          <w:right w:val="nil"/>
          <w:insideH w:val="single" w:sz="2" w:space="0" w:color="D0D0D0"/>
          <w:insideV w:val="nil"/>
        </w:tblBorders>
        <w:tblLayout w:type="fixed"/>
        <w:tblCellMar>
          <w:top w:w="30" w:type="dxa"/>
          <w:left w:w="80" w:type="dxa"/>
          <w:bottom w:w="30" w:type="dxa"/>
          <w:right w:w="80" w:type="dxa"/>
        </w:tblCellMar>
        <w:tblLook w:firstRow="1" w:lastRow="0" w:firstColumn="0" w:lastColumn="0" w:noHBand="0" w:noVBand="0" w:val="0020"/>
        <w:tblCaption w:val="Table 5. Univariate gradient descent on raw predictors (training set), ordered from easiest to hardest. “Optimal” is the closed-form LinearRegression fit. † Updates computed from the gradient descent recursion because they exceed the 50,000-iteration run."/>
      </w:tblPr>
      <w:tblGrid>
        <w:gridCol w:w="1974"/>
        <w:gridCol w:w="1347"/>
        <w:gridCol w:w="1177"/>
        <w:gridCol w:w="721"/>
        <w:gridCol w:w="835"/>
        <w:gridCol w:w="949"/>
        <w:gridCol w:w="949"/>
        <w:gridCol w:w="1404"/>
      </w:tblGrid>
      <w:tr>
        <w:trPr>
          <w:cantSplit/>
          <w:tblHeader w:val="on"/>
        </w:trPr>
        <w:tc>
          <w:tcPr>
            <w:tcW w:w="1974" w:type="dxa"/>
            <w:tcBorders>
              <w:bottom w:val="single" w:sz="6" w:space="0" w:color="1F3A5F"/>
            </w:tcBorders>
            <w:shd w:val="clear" w:color="auto" w:fill="E9EEF5"/>
            <w:vAlign w:val="bottom"/>
          </w:tcPr>
          <w:p>
            <w:pPr>
              <w:pStyle w:val="Compact"/>
              <w:keepNext/>
              <w:spacing w:before="0" w:after="0" w:line="276" w:lineRule="auto"/>
              <w:jc w:val="left"/>
            </w:pPr>
            <w:r>
              <w:rPr>
                <w:b/>
                <w:sz w:val="22"/>
              </w:rPr>
              <w:t xml:space="preserve">Predictor</w:t>
            </w:r>
          </w:p>
        </w:tc>
        <w:tc>
          <w:tcPr>
            <w:tcW w:w="1347" w:type="dxa"/>
            <w:tcBorders>
              <w:bottom w:val="single" w:sz="6" w:space="0" w:color="1F3A5F"/>
            </w:tcBorders>
            <w:shd w:val="clear" w:color="auto" w:fill="E9EEF5"/>
            <w:vAlign w:val="bottom"/>
          </w:tcPr>
          <w:p>
            <w:pPr>
              <w:pStyle w:val="Compact"/>
              <w:keepNext/>
              <w:spacing w:before="0" w:after="0" w:line="276" w:lineRule="auto"/>
              <w:jc w:val="right"/>
            </w:pPr>
            <m:oMath>
              <m:r>
                <w:rPr>
                  <w:sz w:val="22"/>
                  <w:szCs w:val="22"/>
                </w:rPr>
                <m:t>κ</m:t>
              </m:r>
              <m:r>
                <m:rPr>
                  <m:sty m:val="p"/>
                </m:rPr>
                <w:rPr>
                  <w:sz w:val="22"/>
                  <w:szCs w:val="22"/>
                </w:rPr>
                <m:t>(</m:t>
              </m:r>
              <m:r>
                <w:rPr>
                  <w:sz w:val="22"/>
                  <w:szCs w:val="22"/>
                </w:rPr>
                <m:t>H</m:t>
              </m:r>
              <m:r>
                <m:rPr>
                  <m:sty m:val="p"/>
                </m:rPr>
                <w:rPr>
                  <w:sz w:val="22"/>
                  <w:szCs w:val="22"/>
                </w:rPr>
                <m:t>)</m:t>
              </m:r>
            </m:oMath>
          </w:p>
        </w:tc>
        <w:tc>
          <w:tcPr>
            <w:tcW w:w="1177" w:type="dxa"/>
            <w:tcBorders>
              <w:bottom w:val="single" w:sz="6" w:space="0" w:color="1F3A5F"/>
            </w:tcBorders>
            <w:shd w:val="clear" w:color="auto" w:fill="E9EEF5"/>
            <w:vAlign w:val="bottom"/>
          </w:tcPr>
          <w:p>
            <w:pPr>
              <w:pStyle w:val="Compact"/>
              <w:keepNext/>
              <w:spacing w:before="0" w:after="0" w:line="276" w:lineRule="auto"/>
              <w:jc w:val="right"/>
            </w:pPr>
            <m:oMath>
              <m:r>
                <w:rPr>
                  <w:sz w:val="22"/>
                  <w:szCs w:val="22"/>
                </w:rPr>
                <m:t>α</m:t>
              </m:r>
            </m:oMath>
          </w:p>
        </w:tc>
        <w:tc>
          <w:tcPr>
            <w:tcW w:w="721" w:type="dxa"/>
            <w:tcBorders>
              <w:bottom w:val="single" w:sz="6" w:space="0" w:color="1F3A5F"/>
            </w:tcBorders>
            <w:shd w:val="clear" w:color="auto" w:fill="E9EEF5"/>
            <w:vAlign w:val="bottom"/>
          </w:tcPr>
          <w:p>
            <w:pPr>
              <w:pStyle w:val="Compact"/>
              <w:keepNext/>
              <w:spacing w:before="0" w:after="0" w:line="276" w:lineRule="auto"/>
              <w:jc w:val="right"/>
            </w:pPr>
            <w:r>
              <w:rPr>
                <w:b/>
                <w:sz w:val="22"/>
              </w:rPr>
              <w:t xml:space="preserve">MSE after 5,000</w:t>
            </w:r>
          </w:p>
        </w:tc>
        <w:tc>
          <w:tcPr>
            <w:tcW w:w="835" w:type="dxa"/>
            <w:tcBorders>
              <w:bottom w:val="single" w:sz="6" w:space="0" w:color="1F3A5F"/>
            </w:tcBorders>
            <w:shd w:val="clear" w:color="auto" w:fill="E9EEF5"/>
            <w:vAlign w:val="bottom"/>
          </w:tcPr>
          <w:p>
            <w:pPr>
              <w:pStyle w:val="Compact"/>
              <w:keepNext/>
              <w:spacing w:before="0" w:after="0" w:line="276" w:lineRule="auto"/>
              <w:jc w:val="right"/>
            </w:pPr>
            <m:oMath>
              <m:sSup>
                <m:e>
                  <m:r>
                    <w:rPr>
                      <w:sz w:val="22"/>
                      <w:szCs w:val="22"/>
                    </w:rPr>
                    <m:t>R</m:t>
                  </m:r>
                </m:e>
                <m:sup>
                  <m:r>
                    <w:rPr>
                      <w:sz w:val="22"/>
                      <w:szCs w:val="22"/>
                    </w:rPr>
                    <m:t>2</m:t>
                  </m:r>
                </m:sup>
              </m:sSup>
            </m:oMath>
            <w:r>
              <w:rPr>
                <w:b/>
                <w:sz w:val="22"/>
              </w:rPr>
              <w:t xml:space="preserve"> </w:t>
            </w:r>
            <w:r>
              <w:rPr>
                <w:b/>
                <w:sz w:val="22"/>
              </w:rPr>
              <w:t xml:space="preserve">after 5,000</w:t>
            </w:r>
          </w:p>
        </w:tc>
        <w:tc>
          <w:tcPr>
            <w:tcW w:w="949" w:type="dxa"/>
            <w:tcBorders>
              <w:bottom w:val="single" w:sz="6" w:space="0" w:color="1F3A5F"/>
            </w:tcBorders>
            <w:shd w:val="clear" w:color="auto" w:fill="E9EEF5"/>
            <w:vAlign w:val="bottom"/>
          </w:tcPr>
          <w:p>
            <w:pPr>
              <w:pStyle w:val="Compact"/>
              <w:keepNext/>
              <w:spacing w:before="0" w:after="0" w:line="276" w:lineRule="auto"/>
              <w:jc w:val="right"/>
            </w:pPr>
            <w:r>
              <w:rPr>
                <w:b/>
                <w:sz w:val="22"/>
              </w:rPr>
              <w:t xml:space="preserve">Optimal MSE</w:t>
            </w:r>
          </w:p>
        </w:tc>
        <w:tc>
          <w:tcPr>
            <w:tcW w:w="949" w:type="dxa"/>
            <w:tcBorders>
              <w:bottom w:val="single" w:sz="6" w:space="0" w:color="1F3A5F"/>
            </w:tcBorders>
            <w:shd w:val="clear" w:color="auto" w:fill="E9EEF5"/>
            <w:vAlign w:val="bottom"/>
          </w:tcPr>
          <w:p>
            <w:pPr>
              <w:pStyle w:val="Compact"/>
              <w:keepNext/>
              <w:spacing w:before="0" w:after="0" w:line="276" w:lineRule="auto"/>
              <w:jc w:val="right"/>
            </w:pPr>
            <w:r>
              <w:rPr>
                <w:b/>
                <w:sz w:val="22"/>
              </w:rPr>
              <w:t xml:space="preserve">Optimal</w:t>
            </w:r>
            <w:r>
              <w:rPr>
                <w:b/>
                <w:sz w:val="22"/>
              </w:rPr>
              <w:t xml:space="preserve"> </w:t>
            </w:r>
            <m:oMath>
              <m:sSup>
                <m:e>
                  <m:r>
                    <w:rPr>
                      <w:sz w:val="22"/>
                      <w:szCs w:val="22"/>
                    </w:rPr>
                    <m:t>R</m:t>
                  </m:r>
                </m:e>
                <m:sup>
                  <m:r>
                    <w:rPr>
                      <w:sz w:val="22"/>
                      <w:szCs w:val="22"/>
                    </w:rPr>
                    <m:t>2</m:t>
                  </m:r>
                </m:sup>
              </m:sSup>
            </m:oMath>
          </w:p>
        </w:tc>
        <w:tc>
          <w:tcPr>
            <w:tcW w:w="1404" w:type="dxa"/>
            <w:tcBorders>
              <w:bottom w:val="single" w:sz="6" w:space="0" w:color="1F3A5F"/>
            </w:tcBorders>
            <w:shd w:val="clear" w:color="auto" w:fill="E9EEF5"/>
            <w:vAlign w:val="bottom"/>
          </w:tcPr>
          <w:p>
            <w:pPr>
              <w:pStyle w:val="Compact"/>
              <w:keepNext/>
              <w:spacing w:before="0" w:after="0" w:line="276" w:lineRule="auto"/>
              <w:jc w:val="right"/>
            </w:pPr>
            <w:r>
              <w:rPr>
                <w:b/>
                <w:sz w:val="22"/>
              </w:rPr>
              <w:t xml:space="preserve">Updates to</w:t>
            </w:r>
            <w:r>
              <w:rPr>
                <w:b/>
                <w:sz w:val="22"/>
              </w:rPr>
              <w:t xml:space="preserve"> </w:t>
            </w:r>
            <m:oMath>
              <m:sSup>
                <m:e>
                  <m:r>
                    <w:rPr>
                      <w:sz w:val="22"/>
                      <w:szCs w:val="22"/>
                    </w:rPr>
                    <m:t>R</m:t>
                  </m:r>
                </m:e>
                <m:sup>
                  <m:r>
                    <w:rPr>
                      <w:sz w:val="22"/>
                      <w:szCs w:val="22"/>
                    </w:rPr>
                    <m:t>2</m:t>
                  </m:r>
                </m:sup>
              </m:sSup>
              <m:r>
                <m:rPr>
                  <m:sty m:val="p"/>
                </m:rPr>
                <w:rPr>
                  <w:sz w:val="22"/>
                  <w:szCs w:val="22"/>
                </w:rPr>
                <m:t>&gt;</m:t>
              </m:r>
              <m:r>
                <w:rPr>
                  <w:sz w:val="22"/>
                  <w:szCs w:val="22"/>
                </w:rPr>
                <m:t>0</m:t>
              </m:r>
            </m:oMath>
          </w:p>
        </w:tc>
      </w:tr>
      <w:tr>
        <w:trPr>
          <w:cantSplit/>
        </w:trPr>
        <w:tc>
          <w:tcPr>
            <w:tcW w:w="1974" w:type="dxa"/>
          </w:tcPr>
          <w:p>
            <w:pPr>
              <w:pStyle w:val="Compact"/>
              <w:keepNext/>
              <w:spacing w:before="0" w:after="0" w:line="276" w:lineRule="auto"/>
              <w:jc w:val="left"/>
            </w:pPr>
            <w:r>
              <w:rPr>
                <w:sz w:val="22"/>
              </w:rPr>
              <w:t xml:space="preserve">Cement</w:t>
            </w:r>
          </w:p>
        </w:tc>
        <w:tc>
          <w:tcPr>
            <w:tcW w:w="1347" w:type="dxa"/>
          </w:tcPr>
          <w:p>
            <w:pPr>
              <w:pStyle w:val="Compact"/>
              <w:keepNext/>
              <w:spacing w:before="0" w:after="0" w:line="276" w:lineRule="auto"/>
              <w:jc w:val="right"/>
            </w:pPr>
            <m:oMath>
              <m:r>
                <w:rPr>
                  <w:sz w:val="22"/>
                  <w:szCs w:val="22"/>
                </w:rPr>
                <m:t>7.0</m:t>
              </m:r>
              <m:r>
                <m:rPr>
                  <m:sty m:val="p"/>
                </m:rPr>
                <w:rPr>
                  <w:sz w:val="22"/>
                  <w:szCs w:val="22"/>
                </w:rPr>
                <m:t>×</m:t>
              </m:r>
              <m:sSup>
                <m:e>
                  <m:r>
                    <w:rPr>
                      <w:sz w:val="22"/>
                      <w:szCs w:val="22"/>
                    </w:rPr>
                    <m:t>10</m:t>
                  </m:r>
                </m:e>
                <m:sup>
                  <m:r>
                    <w:rPr>
                      <w:sz w:val="22"/>
                      <w:szCs w:val="22"/>
                    </w:rPr>
                    <m:t>5</m:t>
                  </m:r>
                </m:sup>
              </m:sSup>
            </m:oMath>
          </w:p>
        </w:tc>
        <w:tc>
          <w:tcPr>
            <w:tcW w:w="1177" w:type="dxa"/>
          </w:tcPr>
          <w:p>
            <w:pPr>
              <w:pStyle w:val="Compact"/>
              <w:keepNext/>
              <w:spacing w:before="0" w:after="0" w:line="276" w:lineRule="auto"/>
              <w:jc w:val="right"/>
            </w:pPr>
            <m:oMath>
              <m:r>
                <w:rPr>
                  <w:sz w:val="22"/>
                  <w:szCs w:val="22"/>
                </w:rPr>
                <m:t>1</m:t>
              </m:r>
              <m:r>
                <m:rPr>
                  <m:sty m:val="p"/>
                </m:rPr>
                <w:rPr>
                  <w:sz w:val="22"/>
                  <w:szCs w:val="22"/>
                </w:rPr>
                <m:t>×</m:t>
              </m:r>
              <m:sSup>
                <m:e>
                  <m:r>
                    <w:rPr>
                      <w:sz w:val="22"/>
                      <w:szCs w:val="22"/>
                    </w:rPr>
                    <m:t>10</m:t>
                  </m:r>
                </m:e>
                <m:sup>
                  <m:r>
                    <m:rPr>
                      <m:sty m:val="p"/>
                    </m:rPr>
                    <w:rPr>
                      <w:sz w:val="22"/>
                      <w:szCs w:val="22"/>
                    </w:rPr>
                    <m:t>−</m:t>
                  </m:r>
                  <m:r>
                    <w:rPr>
                      <w:sz w:val="22"/>
                      <w:szCs w:val="22"/>
                    </w:rPr>
                    <m:t>5</m:t>
                  </m:r>
                </m:sup>
              </m:sSup>
            </m:oMath>
          </w:p>
        </w:tc>
        <w:tc>
          <w:tcPr>
            <w:tcW w:w="721" w:type="dxa"/>
          </w:tcPr>
          <w:p>
            <w:pPr>
              <w:pStyle w:val="Compact"/>
              <w:keepNext/>
              <w:spacing w:before="0" w:after="0" w:line="276" w:lineRule="auto"/>
              <w:jc w:val="right"/>
            </w:pPr>
            <w:r>
              <w:rPr>
                <w:sz w:val="22"/>
              </w:rPr>
              <w:t xml:space="preserve">229.7</w:t>
            </w:r>
          </w:p>
        </w:tc>
        <w:tc>
          <w:tcPr>
            <w:tcW w:w="835" w:type="dxa"/>
          </w:tcPr>
          <w:p>
            <w:pPr>
              <w:pStyle w:val="Compact"/>
              <w:keepNext/>
              <w:spacing w:before="0" w:after="0" w:line="276" w:lineRule="auto"/>
              <w:jc w:val="right"/>
            </w:pPr>
            <w:r>
              <w:rPr>
                <w:sz w:val="22"/>
              </w:rPr>
              <w:t xml:space="preserve">0.171</w:t>
            </w:r>
          </w:p>
        </w:tc>
        <w:tc>
          <w:tcPr>
            <w:tcW w:w="949" w:type="dxa"/>
          </w:tcPr>
          <w:p>
            <w:pPr>
              <w:pStyle w:val="Compact"/>
              <w:keepNext/>
              <w:spacing w:before="0" w:after="0" w:line="276" w:lineRule="auto"/>
              <w:jc w:val="right"/>
            </w:pPr>
            <w:r>
              <w:rPr>
                <w:sz w:val="22"/>
              </w:rPr>
              <w:t xml:space="preserve">203.8</w:t>
            </w:r>
          </w:p>
        </w:tc>
        <w:tc>
          <w:tcPr>
            <w:tcW w:w="949" w:type="dxa"/>
          </w:tcPr>
          <w:p>
            <w:pPr>
              <w:pStyle w:val="Compact"/>
              <w:keepNext/>
              <w:spacing w:before="0" w:after="0" w:line="276" w:lineRule="auto"/>
              <w:jc w:val="right"/>
            </w:pPr>
            <w:r>
              <w:rPr>
                <w:sz w:val="22"/>
              </w:rPr>
              <w:t xml:space="preserve">0.264</w:t>
            </w:r>
          </w:p>
        </w:tc>
        <w:tc>
          <w:tcPr>
            <w:tcW w:w="1404" w:type="dxa"/>
          </w:tcPr>
          <w:p>
            <w:pPr>
              <w:pStyle w:val="Compact"/>
              <w:keepNext/>
              <w:spacing w:before="0" w:after="0" w:line="276" w:lineRule="auto"/>
              <w:jc w:val="right"/>
            </w:pPr>
            <w:r>
              <w:rPr>
                <w:sz w:val="22"/>
              </w:rPr>
              <w:t xml:space="preserve">7</w:t>
            </w:r>
          </w:p>
        </w:tc>
      </w:tr>
      <w:tr>
        <w:trPr>
          <w:cantSplit/>
        </w:trPr>
        <w:tc>
          <w:tcPr>
            <w:tcW w:w="1974" w:type="dxa"/>
          </w:tcPr>
          <w:p>
            <w:pPr>
              <w:pStyle w:val="Compact"/>
              <w:keepNext/>
              <w:spacing w:before="0" w:after="0" w:line="276" w:lineRule="auto"/>
              <w:jc w:val="left"/>
            </w:pPr>
            <w:r>
              <w:rPr>
                <w:sz w:val="22"/>
              </w:rPr>
              <w:t xml:space="preserve">Superplasticizer</w:t>
            </w:r>
          </w:p>
        </w:tc>
        <w:tc>
          <w:tcPr>
            <w:tcW w:w="1347" w:type="dxa"/>
          </w:tcPr>
          <w:p>
            <w:pPr>
              <w:pStyle w:val="Compact"/>
              <w:keepNext/>
              <w:spacing w:before="0" w:after="0" w:line="276" w:lineRule="auto"/>
              <w:jc w:val="right"/>
            </w:pPr>
            <m:oMath>
              <m:r>
                <w:rPr>
                  <w:sz w:val="22"/>
                  <w:szCs w:val="22"/>
                </w:rPr>
                <m:t>1.9</m:t>
              </m:r>
              <m:r>
                <m:rPr>
                  <m:sty m:val="p"/>
                </m:rPr>
                <w:rPr>
                  <w:sz w:val="22"/>
                  <w:szCs w:val="22"/>
                </w:rPr>
                <m:t>×</m:t>
              </m:r>
              <m:sSup>
                <m:e>
                  <m:r>
                    <w:rPr>
                      <w:sz w:val="22"/>
                      <w:szCs w:val="22"/>
                    </w:rPr>
                    <m:t>10</m:t>
                  </m:r>
                </m:e>
                <m:sup>
                  <m:r>
                    <w:rPr>
                      <w:sz w:val="22"/>
                      <w:szCs w:val="22"/>
                    </w:rPr>
                    <m:t>2</m:t>
                  </m:r>
                </m:sup>
              </m:sSup>
            </m:oMath>
          </w:p>
        </w:tc>
        <w:tc>
          <w:tcPr>
            <w:tcW w:w="1177" w:type="dxa"/>
          </w:tcPr>
          <w:p>
            <w:pPr>
              <w:pStyle w:val="Compact"/>
              <w:keepNext/>
              <w:spacing w:before="0" w:after="0" w:line="276" w:lineRule="auto"/>
              <w:jc w:val="right"/>
            </w:pPr>
            <m:oMath>
              <m:r>
                <w:rPr>
                  <w:sz w:val="22"/>
                  <w:szCs w:val="22"/>
                </w:rPr>
                <m:t>1</m:t>
              </m:r>
              <m:r>
                <m:rPr>
                  <m:sty m:val="p"/>
                </m:rPr>
                <w:rPr>
                  <w:sz w:val="22"/>
                  <w:szCs w:val="22"/>
                </w:rPr>
                <m:t>×</m:t>
              </m:r>
              <m:sSup>
                <m:e>
                  <m:r>
                    <w:rPr>
                      <w:sz w:val="22"/>
                      <w:szCs w:val="22"/>
                    </w:rPr>
                    <m:t>10</m:t>
                  </m:r>
                </m:e>
                <m:sup>
                  <m:r>
                    <m:rPr>
                      <m:sty m:val="p"/>
                    </m:rPr>
                    <w:rPr>
                      <w:sz w:val="22"/>
                      <w:szCs w:val="22"/>
                    </w:rPr>
                    <m:t>−</m:t>
                  </m:r>
                  <m:r>
                    <w:rPr>
                      <w:sz w:val="22"/>
                      <w:szCs w:val="22"/>
                    </w:rPr>
                    <m:t>2</m:t>
                  </m:r>
                </m:sup>
              </m:sSup>
            </m:oMath>
          </w:p>
        </w:tc>
        <w:tc>
          <w:tcPr>
            <w:tcW w:w="721" w:type="dxa"/>
          </w:tcPr>
          <w:p>
            <w:pPr>
              <w:pStyle w:val="Compact"/>
              <w:keepNext/>
              <w:spacing w:before="0" w:after="0" w:line="276" w:lineRule="auto"/>
              <w:jc w:val="right"/>
            </w:pPr>
            <w:r>
              <w:rPr>
                <w:sz w:val="22"/>
              </w:rPr>
              <w:t xml:space="preserve">248.8</w:t>
            </w:r>
          </w:p>
        </w:tc>
        <w:tc>
          <w:tcPr>
            <w:tcW w:w="835" w:type="dxa"/>
          </w:tcPr>
          <w:p>
            <w:pPr>
              <w:pStyle w:val="Compact"/>
              <w:keepNext/>
              <w:spacing w:before="0" w:after="0" w:line="276" w:lineRule="auto"/>
              <w:jc w:val="right"/>
            </w:pPr>
            <w:r>
              <w:rPr>
                <w:sz w:val="22"/>
              </w:rPr>
              <w:t xml:space="preserve">0.102</w:t>
            </w:r>
          </w:p>
        </w:tc>
        <w:tc>
          <w:tcPr>
            <w:tcW w:w="949" w:type="dxa"/>
          </w:tcPr>
          <w:p>
            <w:pPr>
              <w:pStyle w:val="Compact"/>
              <w:keepNext/>
              <w:spacing w:before="0" w:after="0" w:line="276" w:lineRule="auto"/>
              <w:jc w:val="right"/>
            </w:pPr>
            <w:r>
              <w:rPr>
                <w:sz w:val="22"/>
              </w:rPr>
              <w:t xml:space="preserve">248.8</w:t>
            </w:r>
          </w:p>
        </w:tc>
        <w:tc>
          <w:tcPr>
            <w:tcW w:w="949" w:type="dxa"/>
          </w:tcPr>
          <w:p>
            <w:pPr>
              <w:pStyle w:val="Compact"/>
              <w:keepNext/>
              <w:spacing w:before="0" w:after="0" w:line="276" w:lineRule="auto"/>
              <w:jc w:val="right"/>
            </w:pPr>
            <w:r>
              <w:rPr>
                <w:sz w:val="22"/>
              </w:rPr>
              <w:t xml:space="preserve">0.102</w:t>
            </w:r>
          </w:p>
        </w:tc>
        <w:tc>
          <w:tcPr>
            <w:tcW w:w="1404" w:type="dxa"/>
          </w:tcPr>
          <w:p>
            <w:pPr>
              <w:pStyle w:val="Compact"/>
              <w:keepNext/>
              <w:spacing w:before="0" w:after="0" w:line="276" w:lineRule="auto"/>
              <w:jc w:val="right"/>
            </w:pPr>
            <w:r>
              <w:rPr>
                <w:sz w:val="22"/>
              </w:rPr>
              <w:t xml:space="preserve">155</w:t>
            </w:r>
          </w:p>
        </w:tc>
      </w:tr>
      <w:tr>
        <w:trPr>
          <w:cantSplit/>
        </w:trPr>
        <w:tc>
          <w:tcPr>
            <w:tcW w:w="1974" w:type="dxa"/>
          </w:tcPr>
          <w:p>
            <w:pPr>
              <w:pStyle w:val="Compact"/>
              <w:keepNext/>
              <w:spacing w:before="0" w:after="0" w:line="276" w:lineRule="auto"/>
              <w:jc w:val="left"/>
            </w:pPr>
            <w:r>
              <w:rPr>
                <w:sz w:val="22"/>
              </w:rPr>
              <w:t xml:space="preserve">Age</w:t>
            </w:r>
          </w:p>
        </w:tc>
        <w:tc>
          <w:tcPr>
            <w:tcW w:w="1347" w:type="dxa"/>
          </w:tcPr>
          <w:p>
            <w:pPr>
              <w:pStyle w:val="Compact"/>
              <w:keepNext/>
              <w:spacing w:before="0" w:after="0" w:line="276" w:lineRule="auto"/>
              <w:jc w:val="right"/>
            </w:pPr>
            <m:oMath>
              <m:r>
                <w:rPr>
                  <w:sz w:val="22"/>
                  <w:szCs w:val="22"/>
                </w:rPr>
                <m:t>9.2</m:t>
              </m:r>
              <m:r>
                <m:rPr>
                  <m:sty m:val="p"/>
                </m:rPr>
                <w:rPr>
                  <w:sz w:val="22"/>
                  <w:szCs w:val="22"/>
                </w:rPr>
                <m:t>×</m:t>
              </m:r>
              <m:sSup>
                <m:e>
                  <m:r>
                    <w:rPr>
                      <w:sz w:val="22"/>
                      <w:szCs w:val="22"/>
                    </w:rPr>
                    <m:t>10</m:t>
                  </m:r>
                </m:e>
                <m:sup>
                  <m:r>
                    <w:rPr>
                      <w:sz w:val="22"/>
                      <w:szCs w:val="22"/>
                    </w:rPr>
                    <m:t>3</m:t>
                  </m:r>
                </m:sup>
              </m:sSup>
            </m:oMath>
          </w:p>
        </w:tc>
        <w:tc>
          <w:tcPr>
            <w:tcW w:w="1177" w:type="dxa"/>
          </w:tcPr>
          <w:p>
            <w:pPr>
              <w:pStyle w:val="Compact"/>
              <w:keepNext/>
              <w:spacing w:before="0" w:after="0" w:line="276" w:lineRule="auto"/>
              <w:jc w:val="right"/>
            </w:pPr>
            <m:oMath>
              <m:r>
                <w:rPr>
                  <w:sz w:val="22"/>
                  <w:szCs w:val="22"/>
                </w:rPr>
                <m:t>1</m:t>
              </m:r>
              <m:r>
                <m:rPr>
                  <m:sty m:val="p"/>
                </m:rPr>
                <w:rPr>
                  <w:sz w:val="22"/>
                  <w:szCs w:val="22"/>
                </w:rPr>
                <m:t>×</m:t>
              </m:r>
              <m:sSup>
                <m:e>
                  <m:r>
                    <w:rPr>
                      <w:sz w:val="22"/>
                      <w:szCs w:val="22"/>
                    </w:rPr>
                    <m:t>10</m:t>
                  </m:r>
                </m:e>
                <m:sup>
                  <m:r>
                    <m:rPr>
                      <m:sty m:val="p"/>
                    </m:rPr>
                    <w:rPr>
                      <w:sz w:val="22"/>
                      <w:szCs w:val="22"/>
                    </w:rPr>
                    <m:t>−</m:t>
                  </m:r>
                  <m:r>
                    <w:rPr>
                      <w:sz w:val="22"/>
                      <w:szCs w:val="22"/>
                    </w:rPr>
                    <m:t>4</m:t>
                  </m:r>
                </m:sup>
              </m:sSup>
            </m:oMath>
          </w:p>
        </w:tc>
        <w:tc>
          <w:tcPr>
            <w:tcW w:w="721" w:type="dxa"/>
          </w:tcPr>
          <w:p>
            <w:pPr>
              <w:pStyle w:val="Compact"/>
              <w:keepNext/>
              <w:spacing w:before="0" w:after="0" w:line="276" w:lineRule="auto"/>
              <w:jc w:val="right"/>
            </w:pPr>
            <w:r>
              <w:rPr>
                <w:sz w:val="22"/>
              </w:rPr>
              <w:t xml:space="preserve">431.5</w:t>
            </w:r>
          </w:p>
        </w:tc>
        <w:tc>
          <w:tcPr>
            <w:tcW w:w="835" w:type="dxa"/>
          </w:tcPr>
          <w:p>
            <w:pPr>
              <w:pStyle w:val="Compact"/>
              <w:keepNext/>
              <w:spacing w:before="0" w:after="0" w:line="276" w:lineRule="auto"/>
              <w:jc w:val="right"/>
            </w:pPr>
            <w:r>
              <w:rPr>
                <w:sz w:val="22"/>
              </w:rPr>
              <w:t xml:space="preserve">−0.558</w:t>
            </w:r>
          </w:p>
        </w:tc>
        <w:tc>
          <w:tcPr>
            <w:tcW w:w="949" w:type="dxa"/>
          </w:tcPr>
          <w:p>
            <w:pPr>
              <w:pStyle w:val="Compact"/>
              <w:keepNext/>
              <w:spacing w:before="0" w:after="0" w:line="276" w:lineRule="auto"/>
              <w:jc w:val="right"/>
            </w:pPr>
            <w:r>
              <w:rPr>
                <w:sz w:val="22"/>
              </w:rPr>
              <w:t xml:space="preserve">243.0</w:t>
            </w:r>
          </w:p>
        </w:tc>
        <w:tc>
          <w:tcPr>
            <w:tcW w:w="949" w:type="dxa"/>
          </w:tcPr>
          <w:p>
            <w:pPr>
              <w:pStyle w:val="Compact"/>
              <w:keepNext/>
              <w:spacing w:before="0" w:after="0" w:line="276" w:lineRule="auto"/>
              <w:jc w:val="right"/>
            </w:pPr>
            <w:r>
              <w:rPr>
                <w:sz w:val="22"/>
              </w:rPr>
              <w:t xml:space="preserve">0.123</w:t>
            </w:r>
          </w:p>
        </w:tc>
        <w:tc>
          <w:tcPr>
            <w:tcW w:w="1404" w:type="dxa"/>
          </w:tcPr>
          <w:p>
            <w:pPr>
              <w:pStyle w:val="Compact"/>
              <w:keepNext/>
              <w:spacing w:before="0" w:after="0" w:line="276" w:lineRule="auto"/>
              <w:jc w:val="right"/>
            </w:pPr>
            <w:r>
              <w:rPr>
                <w:sz w:val="22"/>
              </w:rPr>
              <w:t xml:space="preserve">11,694</w:t>
            </w:r>
          </w:p>
        </w:tc>
      </w:tr>
      <w:tr>
        <w:trPr>
          <w:cantSplit/>
        </w:trPr>
        <w:tc>
          <w:tcPr>
            <w:tcW w:w="1974" w:type="dxa"/>
          </w:tcPr>
          <w:p>
            <w:pPr>
              <w:pStyle w:val="Compact"/>
              <w:keepNext/>
              <w:spacing w:before="0" w:after="0" w:line="276" w:lineRule="auto"/>
              <w:jc w:val="left"/>
            </w:pPr>
            <w:r>
              <w:rPr>
                <w:sz w:val="22"/>
              </w:rPr>
              <w:t xml:space="preserve">Fly Ash</w:t>
            </w:r>
          </w:p>
        </w:tc>
        <w:tc>
          <w:tcPr>
            <w:tcW w:w="1347" w:type="dxa"/>
          </w:tcPr>
          <w:p>
            <w:pPr>
              <w:pStyle w:val="Compact"/>
              <w:keepNext/>
              <w:spacing w:before="0" w:after="0" w:line="276" w:lineRule="auto"/>
              <w:jc w:val="right"/>
            </w:pPr>
            <m:oMath>
              <m:r>
                <w:rPr>
                  <w:sz w:val="22"/>
                  <w:szCs w:val="22"/>
                </w:rPr>
                <m:t>1.3</m:t>
              </m:r>
              <m:r>
                <m:rPr>
                  <m:sty m:val="p"/>
                </m:rPr>
                <w:rPr>
                  <w:sz w:val="22"/>
                  <w:szCs w:val="22"/>
                </w:rPr>
                <m:t>×</m:t>
              </m:r>
              <m:sSup>
                <m:e>
                  <m:r>
                    <w:rPr>
                      <w:sz w:val="22"/>
                      <w:szCs w:val="22"/>
                    </w:rPr>
                    <m:t>10</m:t>
                  </m:r>
                </m:e>
                <m:sup>
                  <m:r>
                    <w:rPr>
                      <w:sz w:val="22"/>
                      <w:szCs w:val="22"/>
                    </w:rPr>
                    <m:t>4</m:t>
                  </m:r>
                </m:sup>
              </m:sSup>
            </m:oMath>
          </w:p>
        </w:tc>
        <w:tc>
          <w:tcPr>
            <w:tcW w:w="1177" w:type="dxa"/>
          </w:tcPr>
          <w:p>
            <w:pPr>
              <w:pStyle w:val="Compact"/>
              <w:keepNext/>
              <w:spacing w:before="0" w:after="0" w:line="276" w:lineRule="auto"/>
              <w:jc w:val="right"/>
            </w:pPr>
            <m:oMath>
              <m:r>
                <w:rPr>
                  <w:sz w:val="22"/>
                  <w:szCs w:val="22"/>
                </w:rPr>
                <m:t>1</m:t>
              </m:r>
              <m:r>
                <m:rPr>
                  <m:sty m:val="p"/>
                </m:rPr>
                <w:rPr>
                  <w:sz w:val="22"/>
                  <w:szCs w:val="22"/>
                </w:rPr>
                <m:t>×</m:t>
              </m:r>
              <m:sSup>
                <m:e>
                  <m:r>
                    <w:rPr>
                      <w:sz w:val="22"/>
                      <w:szCs w:val="22"/>
                    </w:rPr>
                    <m:t>10</m:t>
                  </m:r>
                </m:e>
                <m:sup>
                  <m:r>
                    <m:rPr>
                      <m:sty m:val="p"/>
                    </m:rPr>
                    <w:rPr>
                      <w:sz w:val="22"/>
                      <w:szCs w:val="22"/>
                    </w:rPr>
                    <m:t>−</m:t>
                  </m:r>
                  <m:r>
                    <w:rPr>
                      <w:sz w:val="22"/>
                      <w:szCs w:val="22"/>
                    </w:rPr>
                    <m:t>4</m:t>
                  </m:r>
                </m:sup>
              </m:sSup>
            </m:oMath>
          </w:p>
        </w:tc>
        <w:tc>
          <w:tcPr>
            <w:tcW w:w="721" w:type="dxa"/>
          </w:tcPr>
          <w:p>
            <w:pPr>
              <w:pStyle w:val="Compact"/>
              <w:keepNext/>
              <w:spacing w:before="0" w:after="0" w:line="276" w:lineRule="auto"/>
              <w:jc w:val="right"/>
            </w:pPr>
            <w:r>
              <w:rPr>
                <w:sz w:val="22"/>
              </w:rPr>
              <w:t xml:space="preserve">557.7</w:t>
            </w:r>
          </w:p>
        </w:tc>
        <w:tc>
          <w:tcPr>
            <w:tcW w:w="835" w:type="dxa"/>
          </w:tcPr>
          <w:p>
            <w:pPr>
              <w:pStyle w:val="Compact"/>
              <w:keepNext/>
              <w:spacing w:before="0" w:after="0" w:line="276" w:lineRule="auto"/>
              <w:jc w:val="right"/>
            </w:pPr>
            <w:r>
              <w:rPr>
                <w:sz w:val="22"/>
              </w:rPr>
              <w:t xml:space="preserve">−1.013</w:t>
            </w:r>
          </w:p>
        </w:tc>
        <w:tc>
          <w:tcPr>
            <w:tcW w:w="949" w:type="dxa"/>
          </w:tcPr>
          <w:p>
            <w:pPr>
              <w:pStyle w:val="Compact"/>
              <w:keepNext/>
              <w:spacing w:before="0" w:after="0" w:line="276" w:lineRule="auto"/>
              <w:jc w:val="right"/>
            </w:pPr>
            <w:r>
              <w:rPr>
                <w:sz w:val="22"/>
              </w:rPr>
              <w:t xml:space="preserve">265.3</w:t>
            </w:r>
          </w:p>
        </w:tc>
        <w:tc>
          <w:tcPr>
            <w:tcW w:w="949" w:type="dxa"/>
          </w:tcPr>
          <w:p>
            <w:pPr>
              <w:pStyle w:val="Compact"/>
              <w:keepNext/>
              <w:spacing w:before="0" w:after="0" w:line="276" w:lineRule="auto"/>
              <w:jc w:val="right"/>
            </w:pPr>
            <w:r>
              <w:rPr>
                <w:sz w:val="22"/>
              </w:rPr>
              <w:t xml:space="preserve">0.042</w:t>
            </w:r>
          </w:p>
        </w:tc>
        <w:tc>
          <w:tcPr>
            <w:tcW w:w="1404" w:type="dxa"/>
          </w:tcPr>
          <w:p>
            <w:pPr>
              <w:pStyle w:val="Compact"/>
              <w:keepNext/>
              <w:spacing w:before="0" w:after="0" w:line="276" w:lineRule="auto"/>
              <w:jc w:val="right"/>
            </w:pPr>
            <w:r>
              <w:rPr>
                <w:sz w:val="22"/>
              </w:rPr>
              <w:t xml:space="preserve">19,445</w:t>
            </w:r>
          </w:p>
        </w:tc>
      </w:tr>
      <w:tr>
        <w:trPr>
          <w:cantSplit/>
        </w:trPr>
        <w:tc>
          <w:tcPr>
            <w:tcW w:w="1974" w:type="dxa"/>
          </w:tcPr>
          <w:p>
            <w:pPr>
              <w:pStyle w:val="Compact"/>
              <w:keepNext/>
              <w:spacing w:before="0" w:after="0" w:line="276" w:lineRule="auto"/>
              <w:jc w:val="left"/>
            </w:pPr>
            <w:r>
              <w:rPr>
                <w:sz w:val="22"/>
              </w:rPr>
              <w:t xml:space="preserve">Blast Furnace Slag</w:t>
            </w:r>
          </w:p>
        </w:tc>
        <w:tc>
          <w:tcPr>
            <w:tcW w:w="1347" w:type="dxa"/>
          </w:tcPr>
          <w:p>
            <w:pPr>
              <w:pStyle w:val="Compact"/>
              <w:keepNext/>
              <w:spacing w:before="0" w:after="0" w:line="276" w:lineRule="auto"/>
              <w:jc w:val="right"/>
            </w:pPr>
            <m:oMath>
              <m:r>
                <w:rPr>
                  <w:sz w:val="22"/>
                  <w:szCs w:val="22"/>
                </w:rPr>
                <m:t>2.3</m:t>
              </m:r>
              <m:r>
                <m:rPr>
                  <m:sty m:val="p"/>
                </m:rPr>
                <w:rPr>
                  <w:sz w:val="22"/>
                  <w:szCs w:val="22"/>
                </w:rPr>
                <m:t>×</m:t>
              </m:r>
              <m:sSup>
                <m:e>
                  <m:r>
                    <w:rPr>
                      <w:sz w:val="22"/>
                      <w:szCs w:val="22"/>
                    </w:rPr>
                    <m:t>10</m:t>
                  </m:r>
                </m:e>
                <m:sup>
                  <m:r>
                    <w:rPr>
                      <w:sz w:val="22"/>
                      <w:szCs w:val="22"/>
                    </w:rPr>
                    <m:t>4</m:t>
                  </m:r>
                </m:sup>
              </m:sSup>
            </m:oMath>
          </w:p>
        </w:tc>
        <w:tc>
          <w:tcPr>
            <w:tcW w:w="1177" w:type="dxa"/>
          </w:tcPr>
          <w:p>
            <w:pPr>
              <w:pStyle w:val="Compact"/>
              <w:keepNext/>
              <w:spacing w:before="0" w:after="0" w:line="276" w:lineRule="auto"/>
              <w:jc w:val="right"/>
            </w:pPr>
            <m:oMath>
              <m:r>
                <w:rPr>
                  <w:sz w:val="22"/>
                  <w:szCs w:val="22"/>
                </w:rPr>
                <m:t>5</m:t>
              </m:r>
              <m:r>
                <m:rPr>
                  <m:sty m:val="p"/>
                </m:rPr>
                <w:rPr>
                  <w:sz w:val="22"/>
                  <w:szCs w:val="22"/>
                </w:rPr>
                <m:t>×</m:t>
              </m:r>
              <m:sSup>
                <m:e>
                  <m:r>
                    <w:rPr>
                      <w:sz w:val="22"/>
                      <w:szCs w:val="22"/>
                    </w:rPr>
                    <m:t>10</m:t>
                  </m:r>
                </m:e>
                <m:sup>
                  <m:r>
                    <m:rPr>
                      <m:sty m:val="p"/>
                    </m:rPr>
                    <w:rPr>
                      <w:sz w:val="22"/>
                      <w:szCs w:val="22"/>
                    </w:rPr>
                    <m:t>−</m:t>
                  </m:r>
                  <m:r>
                    <w:rPr>
                      <w:sz w:val="22"/>
                      <w:szCs w:val="22"/>
                    </w:rPr>
                    <m:t>5</m:t>
                  </m:r>
                </m:sup>
              </m:sSup>
            </m:oMath>
          </w:p>
        </w:tc>
        <w:tc>
          <w:tcPr>
            <w:tcW w:w="721" w:type="dxa"/>
          </w:tcPr>
          <w:p>
            <w:pPr>
              <w:pStyle w:val="Compact"/>
              <w:keepNext/>
              <w:spacing w:before="0" w:after="0" w:line="276" w:lineRule="auto"/>
              <w:jc w:val="right"/>
            </w:pPr>
            <w:r>
              <w:rPr>
                <w:sz w:val="22"/>
              </w:rPr>
              <w:t xml:space="preserve">647.9</w:t>
            </w:r>
          </w:p>
        </w:tc>
        <w:tc>
          <w:tcPr>
            <w:tcW w:w="835" w:type="dxa"/>
          </w:tcPr>
          <w:p>
            <w:pPr>
              <w:pStyle w:val="Compact"/>
              <w:keepNext/>
              <w:spacing w:before="0" w:after="0" w:line="276" w:lineRule="auto"/>
              <w:jc w:val="right"/>
            </w:pPr>
            <w:r>
              <w:rPr>
                <w:sz w:val="22"/>
              </w:rPr>
              <w:t xml:space="preserve">−1.339</w:t>
            </w:r>
          </w:p>
        </w:tc>
        <w:tc>
          <w:tcPr>
            <w:tcW w:w="949" w:type="dxa"/>
          </w:tcPr>
          <w:p>
            <w:pPr>
              <w:pStyle w:val="Compact"/>
              <w:keepNext/>
              <w:spacing w:before="0" w:after="0" w:line="276" w:lineRule="auto"/>
              <w:jc w:val="right"/>
            </w:pPr>
            <w:r>
              <w:rPr>
                <w:sz w:val="22"/>
              </w:rPr>
              <w:t xml:space="preserve">270.0</w:t>
            </w:r>
          </w:p>
        </w:tc>
        <w:tc>
          <w:tcPr>
            <w:tcW w:w="949" w:type="dxa"/>
          </w:tcPr>
          <w:p>
            <w:pPr>
              <w:pStyle w:val="Compact"/>
              <w:keepNext/>
              <w:spacing w:before="0" w:after="0" w:line="276" w:lineRule="auto"/>
              <w:jc w:val="right"/>
            </w:pPr>
            <w:r>
              <w:rPr>
                <w:sz w:val="22"/>
              </w:rPr>
              <w:t xml:space="preserve">0.025</w:t>
            </w:r>
          </w:p>
        </w:tc>
        <w:tc>
          <w:tcPr>
            <w:tcW w:w="1404" w:type="dxa"/>
          </w:tcPr>
          <w:p>
            <w:pPr>
              <w:pStyle w:val="Compact"/>
              <w:keepNext/>
              <w:spacing w:before="0" w:after="0" w:line="276" w:lineRule="auto"/>
              <w:jc w:val="right"/>
            </w:pPr>
            <w:r>
              <w:rPr>
                <w:sz w:val="22"/>
              </w:rPr>
              <w:t xml:space="preserve">41,242</w:t>
            </w:r>
          </w:p>
        </w:tc>
      </w:tr>
      <w:tr>
        <w:trPr>
          <w:cantSplit/>
        </w:trPr>
        <w:tc>
          <w:tcPr>
            <w:tcW w:w="1974" w:type="dxa"/>
          </w:tcPr>
          <w:p>
            <w:pPr>
              <w:pStyle w:val="Compact"/>
              <w:keepNext/>
              <w:spacing w:before="0" w:after="0" w:line="276" w:lineRule="auto"/>
              <w:jc w:val="left"/>
            </w:pPr>
            <w:r>
              <w:rPr>
                <w:sz w:val="22"/>
              </w:rPr>
              <w:t xml:space="preserve">Water</w:t>
            </w:r>
          </w:p>
        </w:tc>
        <w:tc>
          <w:tcPr>
            <w:tcW w:w="1347" w:type="dxa"/>
          </w:tcPr>
          <w:p>
            <w:pPr>
              <w:pStyle w:val="Compact"/>
              <w:keepNext/>
              <w:spacing w:before="0" w:after="0" w:line="276" w:lineRule="auto"/>
              <w:jc w:val="right"/>
            </w:pPr>
            <m:oMath>
              <m:r>
                <w:rPr>
                  <w:sz w:val="22"/>
                  <w:szCs w:val="22"/>
                </w:rPr>
                <m:t>2.2</m:t>
              </m:r>
              <m:r>
                <m:rPr>
                  <m:sty m:val="p"/>
                </m:rPr>
                <w:rPr>
                  <w:sz w:val="22"/>
                  <w:szCs w:val="22"/>
                </w:rPr>
                <m:t>×</m:t>
              </m:r>
              <m:sSup>
                <m:e>
                  <m:r>
                    <w:rPr>
                      <w:sz w:val="22"/>
                      <w:szCs w:val="22"/>
                    </w:rPr>
                    <m:t>10</m:t>
                  </m:r>
                </m:e>
                <m:sup>
                  <m:r>
                    <w:rPr>
                      <w:sz w:val="22"/>
                      <w:szCs w:val="22"/>
                    </w:rPr>
                    <m:t>6</m:t>
                  </m:r>
                </m:sup>
              </m:sSup>
            </m:oMath>
          </w:p>
        </w:tc>
        <w:tc>
          <w:tcPr>
            <w:tcW w:w="1177" w:type="dxa"/>
          </w:tcPr>
          <w:p>
            <w:pPr>
              <w:pStyle w:val="Compact"/>
              <w:keepNext/>
              <w:spacing w:before="0" w:after="0" w:line="276" w:lineRule="auto"/>
              <w:jc w:val="right"/>
            </w:pPr>
            <m:oMath>
              <m:r>
                <w:rPr>
                  <w:sz w:val="22"/>
                  <w:szCs w:val="22"/>
                </w:rPr>
                <m:t>2</m:t>
              </m:r>
              <m:r>
                <m:rPr>
                  <m:sty m:val="p"/>
                </m:rPr>
                <w:rPr>
                  <w:sz w:val="22"/>
                  <w:szCs w:val="22"/>
                </w:rPr>
                <m:t>×</m:t>
              </m:r>
              <m:sSup>
                <m:e>
                  <m:r>
                    <w:rPr>
                      <w:sz w:val="22"/>
                      <w:szCs w:val="22"/>
                    </w:rPr>
                    <m:t>10</m:t>
                  </m:r>
                </m:e>
                <m:sup>
                  <m:r>
                    <m:rPr>
                      <m:sty m:val="p"/>
                    </m:rPr>
                    <w:rPr>
                      <w:sz w:val="22"/>
                      <w:szCs w:val="22"/>
                    </w:rPr>
                    <m:t>−</m:t>
                  </m:r>
                  <m:r>
                    <w:rPr>
                      <w:sz w:val="22"/>
                      <w:szCs w:val="22"/>
                    </w:rPr>
                    <m:t>5</m:t>
                  </m:r>
                </m:sup>
              </m:sSup>
            </m:oMath>
          </w:p>
        </w:tc>
        <w:tc>
          <w:tcPr>
            <w:tcW w:w="721" w:type="dxa"/>
          </w:tcPr>
          <w:p>
            <w:pPr>
              <w:pStyle w:val="Compact"/>
              <w:keepNext/>
              <w:spacing w:before="0" w:after="0" w:line="276" w:lineRule="auto"/>
              <w:jc w:val="right"/>
            </w:pPr>
            <w:r>
              <w:rPr>
                <w:sz w:val="22"/>
              </w:rPr>
              <w:t xml:space="preserve">337.9</w:t>
            </w:r>
          </w:p>
        </w:tc>
        <w:tc>
          <w:tcPr>
            <w:tcW w:w="835" w:type="dxa"/>
          </w:tcPr>
          <w:p>
            <w:pPr>
              <w:pStyle w:val="Compact"/>
              <w:keepNext/>
              <w:spacing w:before="0" w:after="0" w:line="276" w:lineRule="auto"/>
              <w:jc w:val="right"/>
            </w:pPr>
            <w:r>
              <w:rPr>
                <w:sz w:val="22"/>
              </w:rPr>
              <w:t xml:space="preserve">−0.220</w:t>
            </w:r>
          </w:p>
        </w:tc>
        <w:tc>
          <w:tcPr>
            <w:tcW w:w="949" w:type="dxa"/>
          </w:tcPr>
          <w:p>
            <w:pPr>
              <w:pStyle w:val="Compact"/>
              <w:keepNext/>
              <w:spacing w:before="0" w:after="0" w:line="276" w:lineRule="auto"/>
              <w:jc w:val="right"/>
            </w:pPr>
            <w:r>
              <w:rPr>
                <w:sz w:val="22"/>
              </w:rPr>
              <w:t xml:space="preserve">255.8</w:t>
            </w:r>
          </w:p>
        </w:tc>
        <w:tc>
          <w:tcPr>
            <w:tcW w:w="949" w:type="dxa"/>
          </w:tcPr>
          <w:p>
            <w:pPr>
              <w:pStyle w:val="Compact"/>
              <w:keepNext/>
              <w:spacing w:before="0" w:after="0" w:line="276" w:lineRule="auto"/>
              <w:jc w:val="right"/>
            </w:pPr>
            <w:r>
              <w:rPr>
                <w:sz w:val="22"/>
              </w:rPr>
              <w:t xml:space="preserve">0.077</w:t>
            </w:r>
          </w:p>
        </w:tc>
        <w:tc>
          <w:tcPr>
            <w:tcW w:w="1404" w:type="dxa"/>
          </w:tcPr>
          <w:p>
            <w:pPr>
              <w:pStyle w:val="Compact"/>
              <w:keepNext/>
              <w:spacing w:before="0" w:after="0" w:line="276" w:lineRule="auto"/>
              <w:jc w:val="right"/>
            </w:pPr>
            <w:r>
              <w:rPr>
                <w:sz w:val="22"/>
              </w:rPr>
              <w:t xml:space="preserve">1,135,437†</w:t>
            </w:r>
          </w:p>
        </w:tc>
      </w:tr>
      <w:tr>
        <w:trPr>
          <w:cantSplit/>
        </w:trPr>
        <w:tc>
          <w:tcPr>
            <w:tcW w:w="1974" w:type="dxa"/>
          </w:tcPr>
          <w:p>
            <w:pPr>
              <w:pStyle w:val="Compact"/>
              <w:keepNext/>
              <w:spacing w:before="0" w:after="0" w:line="276" w:lineRule="auto"/>
              <w:jc w:val="left"/>
            </w:pPr>
            <w:r>
              <w:rPr>
                <w:sz w:val="22"/>
              </w:rPr>
              <w:t xml:space="preserve">Fine Aggregate</w:t>
            </w:r>
          </w:p>
        </w:tc>
        <w:tc>
          <w:tcPr>
            <w:tcW w:w="1347" w:type="dxa"/>
          </w:tcPr>
          <w:p>
            <w:pPr>
              <w:pStyle w:val="Compact"/>
              <w:keepNext/>
              <w:spacing w:before="0" w:after="0" w:line="276" w:lineRule="auto"/>
              <w:jc w:val="right"/>
            </w:pPr>
            <m:oMath>
              <m:r>
                <w:rPr>
                  <w:sz w:val="22"/>
                  <w:szCs w:val="22"/>
                </w:rPr>
                <m:t>5.4</m:t>
              </m:r>
              <m:r>
                <m:rPr>
                  <m:sty m:val="p"/>
                </m:rPr>
                <w:rPr>
                  <w:sz w:val="22"/>
                  <w:szCs w:val="22"/>
                </w:rPr>
                <m:t>×</m:t>
              </m:r>
              <m:sSup>
                <m:e>
                  <m:r>
                    <w:rPr>
                      <w:sz w:val="22"/>
                      <w:szCs w:val="22"/>
                    </w:rPr>
                    <m:t>10</m:t>
                  </m:r>
                </m:e>
                <m:sup>
                  <m:r>
                    <w:rPr>
                      <w:sz w:val="22"/>
                      <w:szCs w:val="22"/>
                    </w:rPr>
                    <m:t>7</m:t>
                  </m:r>
                </m:sup>
              </m:sSup>
            </m:oMath>
          </w:p>
        </w:tc>
        <w:tc>
          <w:tcPr>
            <w:tcW w:w="1177" w:type="dxa"/>
          </w:tcPr>
          <w:p>
            <w:pPr>
              <w:pStyle w:val="Compact"/>
              <w:keepNext/>
              <w:spacing w:before="0" w:after="0" w:line="276" w:lineRule="auto"/>
              <w:jc w:val="right"/>
            </w:pPr>
            <m:oMath>
              <m:r>
                <w:rPr>
                  <w:sz w:val="22"/>
                  <w:szCs w:val="22"/>
                </w:rPr>
                <m:t>1</m:t>
              </m:r>
              <m:r>
                <m:rPr>
                  <m:sty m:val="p"/>
                </m:rPr>
                <w:rPr>
                  <w:sz w:val="22"/>
                  <w:szCs w:val="22"/>
                </w:rPr>
                <m:t>×</m:t>
              </m:r>
              <m:sSup>
                <m:e>
                  <m:r>
                    <w:rPr>
                      <w:sz w:val="22"/>
                      <w:szCs w:val="22"/>
                    </w:rPr>
                    <m:t>10</m:t>
                  </m:r>
                </m:e>
                <m:sup>
                  <m:r>
                    <m:rPr>
                      <m:sty m:val="p"/>
                    </m:rPr>
                    <w:rPr>
                      <w:sz w:val="22"/>
                      <w:szCs w:val="22"/>
                    </w:rPr>
                    <m:t>−</m:t>
                  </m:r>
                  <m:r>
                    <w:rPr>
                      <w:sz w:val="22"/>
                      <w:szCs w:val="22"/>
                    </w:rPr>
                    <m:t>6</m:t>
                  </m:r>
                </m:sup>
              </m:sSup>
            </m:oMath>
          </w:p>
        </w:tc>
        <w:tc>
          <w:tcPr>
            <w:tcW w:w="721" w:type="dxa"/>
          </w:tcPr>
          <w:p>
            <w:pPr>
              <w:pStyle w:val="Compact"/>
              <w:keepNext/>
              <w:spacing w:before="0" w:after="0" w:line="276" w:lineRule="auto"/>
              <w:jc w:val="right"/>
            </w:pPr>
            <w:r>
              <w:rPr>
                <w:sz w:val="22"/>
              </w:rPr>
              <w:t xml:space="preserve">311.5</w:t>
            </w:r>
          </w:p>
        </w:tc>
        <w:tc>
          <w:tcPr>
            <w:tcW w:w="835" w:type="dxa"/>
          </w:tcPr>
          <w:p>
            <w:pPr>
              <w:pStyle w:val="Compact"/>
              <w:keepNext/>
              <w:spacing w:before="0" w:after="0" w:line="276" w:lineRule="auto"/>
              <w:jc w:val="right"/>
            </w:pPr>
            <w:r>
              <w:rPr>
                <w:sz w:val="22"/>
              </w:rPr>
              <w:t xml:space="preserve">−0.124</w:t>
            </w:r>
          </w:p>
        </w:tc>
        <w:tc>
          <w:tcPr>
            <w:tcW w:w="949" w:type="dxa"/>
          </w:tcPr>
          <w:p>
            <w:pPr>
              <w:pStyle w:val="Compact"/>
              <w:keepNext/>
              <w:spacing w:before="0" w:after="0" w:line="276" w:lineRule="auto"/>
              <w:jc w:val="right"/>
            </w:pPr>
            <w:r>
              <w:rPr>
                <w:sz w:val="22"/>
              </w:rPr>
              <w:t xml:space="preserve">270.7</w:t>
            </w:r>
          </w:p>
        </w:tc>
        <w:tc>
          <w:tcPr>
            <w:tcW w:w="949" w:type="dxa"/>
          </w:tcPr>
          <w:p>
            <w:pPr>
              <w:pStyle w:val="Compact"/>
              <w:keepNext/>
              <w:spacing w:before="0" w:after="0" w:line="276" w:lineRule="auto"/>
              <w:jc w:val="right"/>
            </w:pPr>
            <w:r>
              <w:rPr>
                <w:sz w:val="22"/>
              </w:rPr>
              <w:t xml:space="preserve">0.023</w:t>
            </w:r>
          </w:p>
        </w:tc>
        <w:tc>
          <w:tcPr>
            <w:tcW w:w="1404" w:type="dxa"/>
          </w:tcPr>
          <w:p>
            <w:pPr>
              <w:pStyle w:val="Compact"/>
              <w:keepNext/>
              <w:spacing w:before="0" w:after="0" w:line="276" w:lineRule="auto"/>
              <w:jc w:val="right"/>
            </w:pPr>
            <w:r>
              <w:rPr>
                <w:sz w:val="22"/>
              </w:rPr>
              <w:t xml:space="preserve">42,114,806†</w:t>
            </w:r>
          </w:p>
        </w:tc>
      </w:tr>
      <w:tr>
        <w:trPr>
          <w:cantSplit/>
        </w:trPr>
        <w:tc>
          <w:tcPr>
            <w:tcW w:w="1974" w:type="dxa"/>
          </w:tcPr>
          <w:p>
            <w:pPr>
              <w:pStyle w:val="Compact"/>
              <w:spacing w:before="0" w:after="0" w:line="276" w:lineRule="auto"/>
              <w:jc w:val="left"/>
            </w:pPr>
            <w:r>
              <w:rPr>
                <w:sz w:val="22"/>
              </w:rPr>
              <w:t xml:space="preserve">Coarse Aggregate</w:t>
            </w:r>
          </w:p>
        </w:tc>
        <w:tc>
          <w:tcPr>
            <w:tcW w:w="1347" w:type="dxa"/>
          </w:tcPr>
          <w:p>
            <w:pPr>
              <w:pStyle w:val="Compact"/>
              <w:spacing w:before="0" w:after="0" w:line="276" w:lineRule="auto"/>
              <w:jc w:val="right"/>
            </w:pPr>
            <m:oMath>
              <m:r>
                <w:rPr>
                  <w:sz w:val="22"/>
                  <w:szCs w:val="22"/>
                </w:rPr>
                <m:t>1.5</m:t>
              </m:r>
              <m:r>
                <m:rPr>
                  <m:sty m:val="p"/>
                </m:rPr>
                <w:rPr>
                  <w:sz w:val="22"/>
                  <w:szCs w:val="22"/>
                </w:rPr>
                <m:t>×</m:t>
              </m:r>
              <m:sSup>
                <m:e>
                  <m:r>
                    <w:rPr>
                      <w:sz w:val="22"/>
                      <w:szCs w:val="22"/>
                    </w:rPr>
                    <m:t>10</m:t>
                  </m:r>
                </m:e>
                <m:sup>
                  <m:r>
                    <w:rPr>
                      <w:sz w:val="22"/>
                      <w:szCs w:val="22"/>
                    </w:rPr>
                    <m:t>8</m:t>
                  </m:r>
                </m:sup>
              </m:sSup>
            </m:oMath>
          </w:p>
        </w:tc>
        <w:tc>
          <w:tcPr>
            <w:tcW w:w="1177" w:type="dxa"/>
          </w:tcPr>
          <w:p>
            <w:pPr>
              <w:pStyle w:val="Compact"/>
              <w:spacing w:before="0" w:after="0" w:line="276" w:lineRule="auto"/>
              <w:jc w:val="right"/>
            </w:pPr>
            <m:oMath>
              <m:r>
                <w:rPr>
                  <w:sz w:val="22"/>
                  <w:szCs w:val="22"/>
                </w:rPr>
                <m:t>1</m:t>
              </m:r>
              <m:r>
                <m:rPr>
                  <m:sty m:val="p"/>
                </m:rPr>
                <w:rPr>
                  <w:sz w:val="22"/>
                  <w:szCs w:val="22"/>
                </w:rPr>
                <m:t>×</m:t>
              </m:r>
              <m:sSup>
                <m:e>
                  <m:r>
                    <w:rPr>
                      <w:sz w:val="22"/>
                      <w:szCs w:val="22"/>
                    </w:rPr>
                    <m:t>10</m:t>
                  </m:r>
                </m:e>
                <m:sup>
                  <m:r>
                    <m:rPr>
                      <m:sty m:val="p"/>
                    </m:rPr>
                    <w:rPr>
                      <w:sz w:val="22"/>
                      <w:szCs w:val="22"/>
                    </w:rPr>
                    <m:t>−</m:t>
                  </m:r>
                  <m:r>
                    <w:rPr>
                      <w:sz w:val="22"/>
                      <w:szCs w:val="22"/>
                    </w:rPr>
                    <m:t>6</m:t>
                  </m:r>
                </m:sup>
              </m:sSup>
            </m:oMath>
          </w:p>
        </w:tc>
        <w:tc>
          <w:tcPr>
            <w:tcW w:w="721" w:type="dxa"/>
          </w:tcPr>
          <w:p>
            <w:pPr>
              <w:pStyle w:val="Compact"/>
              <w:spacing w:before="0" w:after="0" w:line="276" w:lineRule="auto"/>
              <w:jc w:val="right"/>
            </w:pPr>
            <w:r>
              <w:rPr>
                <w:sz w:val="22"/>
              </w:rPr>
              <w:t xml:space="preserve">298.0</w:t>
            </w:r>
          </w:p>
        </w:tc>
        <w:tc>
          <w:tcPr>
            <w:tcW w:w="835" w:type="dxa"/>
          </w:tcPr>
          <w:p>
            <w:pPr>
              <w:pStyle w:val="Compact"/>
              <w:spacing w:before="0" w:after="0" w:line="276" w:lineRule="auto"/>
              <w:jc w:val="right"/>
            </w:pPr>
            <w:r>
              <w:rPr>
                <w:sz w:val="22"/>
              </w:rPr>
              <w:t xml:space="preserve">−0.076</w:t>
            </w:r>
          </w:p>
        </w:tc>
        <w:tc>
          <w:tcPr>
            <w:tcW w:w="949" w:type="dxa"/>
          </w:tcPr>
          <w:p>
            <w:pPr>
              <w:pStyle w:val="Compact"/>
              <w:spacing w:before="0" w:after="0" w:line="276" w:lineRule="auto"/>
              <w:jc w:val="right"/>
            </w:pPr>
            <w:r>
              <w:rPr>
                <w:sz w:val="22"/>
              </w:rPr>
              <w:t xml:space="preserve">272.5</w:t>
            </w:r>
          </w:p>
        </w:tc>
        <w:tc>
          <w:tcPr>
            <w:tcW w:w="949" w:type="dxa"/>
          </w:tcPr>
          <w:p>
            <w:pPr>
              <w:pStyle w:val="Compact"/>
              <w:spacing w:before="0" w:after="0" w:line="276" w:lineRule="auto"/>
              <w:jc w:val="right"/>
            </w:pPr>
            <w:r>
              <w:rPr>
                <w:sz w:val="22"/>
              </w:rPr>
              <w:t xml:space="preserve">0.016</w:t>
            </w:r>
          </w:p>
        </w:tc>
        <w:tc>
          <w:tcPr>
            <w:tcW w:w="1404" w:type="dxa"/>
          </w:tcPr>
          <w:p>
            <w:pPr>
              <w:pStyle w:val="Compact"/>
              <w:spacing w:before="0" w:after="0" w:line="276" w:lineRule="auto"/>
              <w:jc w:val="right"/>
            </w:pPr>
            <w:r>
              <w:rPr>
                <w:sz w:val="22"/>
              </w:rPr>
              <w:t xml:space="preserve">68,748,264†</w:t>
            </w:r>
          </w:p>
        </w:tc>
      </w:tr>
    </w:tbl>
    <w:p>
      <w:pPr>
        <w:pStyle w:val="CaptionedFigure"/>
        <w:keepNext/>
        <w:spacing w:before="200"/>
      </w:pPr>
      <w:r>
        <w:drawing>
          <wp:inline>
            <wp:extent cx="5943600" cy="3808574"/>
            <wp:effectExtent b="0" l="0" r="0" t="0"/>
            <wp:docPr descr="Figure 3. Training R^2 over iterations for the eight univariate models (log-scaled iteration axis). The vertical line marks the 5,000-iteration budget, and the upper gray line marks each model’s optimal R^2." title="" id="28" name="Picture"/>
            <a:graphic>
              <a:graphicData uri="http://schemas.openxmlformats.org/drawingml/2006/picture">
                <pic:pic>
                  <pic:nvPicPr>
                    <pic:cNvPr descr="../assets/figures/univariate_gradient_descent.png" id="29" name="Picture"/>
                    <pic:cNvPicPr>
                      <a:picLocks noChangeArrowheads="1" noChangeAspect="1"/>
                    </pic:cNvPicPr>
                  </pic:nvPicPr>
                  <pic:blipFill>
                    <a:blip r:embed="rId27"/>
                    <a:stretch>
                      <a:fillRect/>
                    </a:stretch>
                  </pic:blipFill>
                  <pic:spPr bwMode="auto">
                    <a:xfrm>
                      <a:off x="0" y="0"/>
                      <a:ext cx="5943600" cy="3808574"/>
                    </a:xfrm>
                    <a:prstGeom prst="rect">
                      <a:avLst/>
                    </a:prstGeom>
                    <a:noFill/>
                    <a:ln w="9525">
                      <a:noFill/>
                      <a:headEnd/>
                      <a:tailEnd/>
                    </a:ln>
                  </pic:spPr>
                </pic:pic>
              </a:graphicData>
            </a:graphic>
          </wp:inline>
        </w:drawing>
      </w:r>
    </w:p>
    <w:p>
      <w:pPr>
        <w:pStyle w:val="ImageCaption"/>
      </w:pPr>
      <w:r>
        <w:rPr>
          <w:b/>
          <w:bCs/>
        </w:rPr>
        <w:t xml:space="preserve">Figure 3.</w:t>
      </w:r>
      <w:r>
        <w:t xml:space="preserve"> </w:t>
      </w:r>
      <w:r>
        <w:t xml:space="preserve">Training</w:t>
      </w:r>
      <w:r>
        <w:t xml:space="preserve"> </w:t>
      </w:r>
      <m:oMath>
        <m:sSup>
          <m:e>
            <m:r>
              <m:t>R</m:t>
            </m:r>
          </m:e>
          <m:sup>
            <m:r>
              <m:t>2</m:t>
            </m:r>
          </m:sup>
        </m:sSup>
      </m:oMath>
      <w:r>
        <w:t xml:space="preserve"> </w:t>
      </w:r>
      <w:r>
        <w:t xml:space="preserve">over iterations for the eight univariate models (log-scaled iteration axis). The vertical line marks the 5,000-iteration budget, and the upper gray line marks each model’s optimal</w:t>
      </w:r>
      <w:r>
        <w:t xml:space="preserve"> </w:t>
      </w:r>
      <m:oMath>
        <m:sSup>
          <m:e>
            <m:r>
              <m:t>R</m:t>
            </m:r>
          </m:e>
          <m:sup>
            <m:r>
              <m:t>2</m:t>
            </m:r>
          </m:sup>
        </m:sSup>
      </m:oMath>
      <w:r>
        <w:t xml:space="preserve">.</w:t>
      </w:r>
    </w:p>
    <w:p>
      <w:pPr>
        <w:pStyle w:val="BodyText"/>
      </w:pPr>
      <w:r>
        <w:rPr>
          <w:b/>
          <w:bCs/>
        </w:rPr>
        <w:t xml:space="preserve">Easy versus hard.</w:t>
      </w:r>
      <w:r>
        <w:t xml:space="preserve"> </w:t>
      </w:r>
      <w:r>
        <w:t xml:space="preserve">Only cement and superplasticizer reached a positive</w:t>
      </w:r>
      <w:r>
        <w:t xml:space="preserve"> </w:t>
      </w:r>
      <m:oMath>
        <m:sSup>
          <m:e>
            <m:r>
              <m:t>R</m:t>
            </m:r>
          </m:e>
          <m:sup>
            <m:r>
              <m:t>2</m:t>
            </m:r>
          </m:sup>
        </m:sSup>
      </m:oMath>
      <w:r>
        <w:t xml:space="preserve"> </w:t>
      </w:r>
      <w:r>
        <w:t xml:space="preserve">within the budget, which satisfies the requirement of at least two. Superplasticizer converged fully. Age, fly ash and slag needed</w:t>
      </w:r>
      <w:r>
        <w:t xml:space="preserve"> </w:t>
      </w:r>
      <m:oMath>
        <m:sSup>
          <m:e>
            <m:r>
              <m:t>10</m:t>
            </m:r>
          </m:e>
          <m:sup>
            <m:r>
              <m:t>4</m:t>
            </m:r>
          </m:sup>
        </m:sSup>
      </m:oMath>
      <w:r>
        <w:t xml:space="preserve">–</w:t>
      </w:r>
      <m:oMath>
        <m:r>
          <m:t>4</m:t>
        </m:r>
        <m:r>
          <m:rPr>
            <m:sty m:val="p"/>
          </m:rPr>
          <m:t>×</m:t>
        </m:r>
        <m:sSup>
          <m:e>
            <m:r>
              <m:t>10</m:t>
            </m:r>
          </m:e>
          <m:sup>
            <m:r>
              <m:t>4</m:t>
            </m:r>
          </m:sup>
        </m:sSup>
      </m:oMath>
      <w:r>
        <w:t xml:space="preserve"> </w:t>
      </w:r>
      <w:r>
        <w:t xml:space="preserve">iterations, water about</w:t>
      </w:r>
      <w:r>
        <w:t xml:space="preserve"> </w:t>
      </w:r>
      <m:oMath>
        <m:r>
          <m:t>1.1</m:t>
        </m:r>
        <m:r>
          <m:rPr>
            <m:sty m:val="p"/>
          </m:rPr>
          <m:t>×</m:t>
        </m:r>
        <m:sSup>
          <m:e>
            <m:r>
              <m:t>10</m:t>
            </m:r>
          </m:e>
          <m:sup>
            <m:r>
              <m:t>6</m:t>
            </m:r>
          </m:sup>
        </m:sSup>
      </m:oMath>
      <w:r>
        <w:t xml:space="preserve">, and the two aggregates more than</w:t>
      </w:r>
      <w:r>
        <w:t xml:space="preserve"> </w:t>
      </w:r>
      <m:oMath>
        <m:r>
          <m:t>4</m:t>
        </m:r>
        <m:r>
          <m:rPr>
            <m:sty m:val="p"/>
          </m:rPr>
          <m:t>×</m:t>
        </m:r>
        <m:sSup>
          <m:e>
            <m:r>
              <m:t>10</m:t>
            </m:r>
          </m:e>
          <m:sup>
            <m:r>
              <m:t>7</m:t>
            </m:r>
          </m:sup>
        </m:sSup>
      </m:oMath>
      <w:r>
        <w:t xml:space="preserve">. Difficulty is explained by conditioning. For</w:t>
      </w:r>
      <w:r>
        <w:t xml:space="preserve"> </w:t>
      </w:r>
      <m:oMath>
        <m:r>
          <m:t>Z</m:t>
        </m:r>
        <m:r>
          <m:rPr>
            <m:sty m:val="p"/>
          </m:rPr>
          <m:t>=</m:t>
        </m:r>
        <m:r>
          <m:rPr>
            <m:sty m:val="p"/>
          </m:rPr>
          <m:t>[</m:t>
        </m:r>
        <m:r>
          <m:rPr>
            <m:sty m:val="b"/>
          </m:rPr>
          <m:t>1</m:t>
        </m:r>
        <m:r>
          <m:t> </m:t>
        </m:r>
        <m:r>
          <m:t> </m:t>
        </m:r>
        <m:r>
          <m:rPr>
            <m:sty m:val="b"/>
          </m:rPr>
          <m:t>x</m:t>
        </m:r>
        <m:r>
          <m:rPr>
            <m:sty m:val="p"/>
          </m:rPr>
          <m:t>]</m:t>
        </m:r>
      </m:oMath>
      <w:r>
        <w:t xml:space="preserve">, with training mean</w:t>
      </w:r>
      <w:r>
        <w:t xml:space="preserve"> </w:t>
      </w:r>
      <m:oMath>
        <m:acc>
          <m:accPr>
            <m:chr m:val="‾"/>
          </m:accPr>
          <m:e>
            <m:r>
              <m:t>x</m:t>
            </m:r>
          </m:e>
        </m:acc>
      </m:oMath>
      <w:r>
        <w:t xml:space="preserve"> </w:t>
      </w:r>
      <w:r>
        <w:t xml:space="preserve">and standard deviation</w:t>
      </w:r>
      <w:r>
        <w:t xml:space="preserve"> </w:t>
      </w:r>
      <m:oMath>
        <m:r>
          <m:t>s</m:t>
        </m:r>
      </m:oMath>
      <w:r>
        <w:t xml:space="preserve">,</w:t>
      </w:r>
    </w:p>
    <w:p>
      <w:pPr>
        <w:pStyle w:val="BodyText"/>
      </w:pPr>
      <m:oMathPara>
        <m:oMathParaPr>
          <m:jc m:val="center"/>
        </m:oMathParaPr>
        <m:oMath>
          <m:r>
            <m:t>H</m:t>
          </m:r>
          <m:r>
            <m:rPr>
              <m:sty m:val="p"/>
            </m:rPr>
            <m:t>=</m:t>
          </m:r>
          <m:r>
            <m:t>2</m:t>
          </m:r>
          <m:d>
            <m:dPr>
              <m:begChr m:val="("/>
              <m:sepChr m:val=""/>
              <m:endChr m:val=")"/>
              <m:grow/>
            </m:dPr>
            <m:e>
              <m:m>
                <m:mPr>
                  <m:baseJc m:val="center"/>
                  <m:plcHide m:val="on"/>
                  <m:mcs>
                    <m:mc>
                      <m:mcPr>
                        <m:mcJc m:val="center"/>
                        <m:count m:val="1"/>
                      </m:mcPr>
                    </m:mc>
                    <m:mc>
                      <m:mcPr>
                        <m:mcJc m:val="center"/>
                        <m:count m:val="1"/>
                      </m:mcPr>
                    </m:mc>
                  </m:mcs>
                </m:mPr>
                <m:mr>
                  <m:e>
                    <m:r>
                      <m:t>1</m:t>
                    </m:r>
                  </m:e>
                  <m:e>
                    <m:acc>
                      <m:accPr>
                        <m:chr m:val="‾"/>
                      </m:accPr>
                      <m:e>
                        <m:r>
                          <m:t>x</m:t>
                        </m:r>
                      </m:e>
                    </m:acc>
                  </m:e>
                </m:mr>
                <m:mr>
                  <m:e>
                    <m:acc>
                      <m:accPr>
                        <m:chr m:val="‾"/>
                      </m:accPr>
                      <m:e>
                        <m:r>
                          <m:t>x</m:t>
                        </m:r>
                      </m:e>
                    </m:acc>
                  </m:e>
                  <m:e>
                    <m:sSup>
                      <m:e>
                        <m:acc>
                          <m:accPr>
                            <m:chr m:val="‾"/>
                          </m:accPr>
                          <m:e>
                            <m:r>
                              <m:t>x</m:t>
                            </m:r>
                          </m:e>
                        </m:acc>
                      </m:e>
                      <m:sup>
                        <m:r>
                          <m:t>2</m:t>
                        </m:r>
                      </m:sup>
                    </m:sSup>
                    <m:r>
                      <m:rPr>
                        <m:sty m:val="p"/>
                      </m:rPr>
                      <m:t>+</m:t>
                    </m:r>
                    <m:sSup>
                      <m:e>
                        <m:r>
                          <m:t>s</m:t>
                        </m:r>
                      </m:e>
                      <m:sup>
                        <m:r>
                          <m:t>2</m:t>
                        </m:r>
                      </m:sup>
                    </m:sSup>
                  </m:e>
                </m:mr>
              </m:m>
            </m:e>
          </m:d>
          <m:r>
            <m:rPr>
              <m:sty m:val="p"/>
            </m:rPr>
            <m:t>,</m:t>
          </m:r>
          <m:r>
            <m:t>  </m:t>
          </m:r>
          <m:r>
            <m:t>κ</m:t>
          </m:r>
          <m:r>
            <m:rPr>
              <m:sty m:val="p"/>
            </m:rPr>
            <m:t>(</m:t>
          </m:r>
          <m:r>
            <m:t>H</m:t>
          </m:r>
          <m:r>
            <m:rPr>
              <m:sty m:val="p"/>
            </m:rPr>
            <m:t>)</m:t>
          </m:r>
          <m:r>
            <m:rPr>
              <m:sty m:val="p"/>
            </m:rPr>
            <m:t>≈</m:t>
          </m:r>
          <m:f>
            <m:fPr>
              <m:type m:val="bar"/>
            </m:fPr>
            <m:num>
              <m:r>
                <m:rPr>
                  <m:sty m:val="p"/>
                </m:rPr>
                <m:t>(</m:t>
              </m:r>
              <m:r>
                <m:t>1</m:t>
              </m:r>
              <m:r>
                <m:rPr>
                  <m:sty m:val="p"/>
                </m:rPr>
                <m:t>+</m:t>
              </m:r>
              <m:sSup>
                <m:e>
                  <m:acc>
                    <m:accPr>
                      <m:chr m:val="‾"/>
                    </m:accPr>
                    <m:e>
                      <m:r>
                        <m:t>x</m:t>
                      </m:r>
                    </m:e>
                  </m:acc>
                </m:e>
                <m:sup>
                  <m:r>
                    <m:t>2</m:t>
                  </m:r>
                </m:sup>
              </m:sSup>
              <m:r>
                <m:rPr>
                  <m:sty m:val="p"/>
                </m:rPr>
                <m:t>+</m:t>
              </m:r>
              <m:sSup>
                <m:e>
                  <m:r>
                    <m:t>s</m:t>
                  </m:r>
                </m:e>
                <m:sup>
                  <m:r>
                    <m:t>2</m:t>
                  </m:r>
                </m:sup>
              </m:sSup>
              <m:sSup>
                <m:e>
                  <m:r>
                    <m:rPr>
                      <m:sty m:val="p"/>
                    </m:rPr>
                    <m:t>)</m:t>
                  </m:r>
                </m:e>
                <m:sup>
                  <m:r>
                    <m:t>2</m:t>
                  </m:r>
                </m:sup>
              </m:sSup>
            </m:num>
            <m:den>
              <m:sSup>
                <m:e>
                  <m:r>
                    <m:t>s</m:t>
                  </m:r>
                </m:e>
                <m:sup>
                  <m:r>
                    <m:t>2</m:t>
                  </m:r>
                </m:sup>
              </m:sSup>
            </m:den>
          </m:f>
          <m:r>
            <m:t> </m:t>
          </m:r>
          <m:r>
            <m:rPr>
              <m:sty m:val="p"/>
            </m:rPr>
            <m:t>(</m:t>
          </m:r>
          <m:sSup>
            <m:e>
              <m:acc>
                <m:accPr>
                  <m:chr m:val="‾"/>
                </m:accPr>
                <m:e>
                  <m:r>
                    <m:t>x</m:t>
                  </m:r>
                </m:e>
              </m:acc>
            </m:e>
            <m:sup>
              <m:r>
                <m:t>2</m:t>
              </m:r>
            </m:sup>
          </m:sSup>
          <m:r>
            <m:rPr>
              <m:sty m:val="p"/>
            </m:rPr>
            <m:t>+</m:t>
          </m:r>
          <m:sSup>
            <m:e>
              <m:r>
                <m:t>s</m:t>
              </m:r>
            </m:e>
            <m:sup>
              <m:r>
                <m:t>2</m:t>
              </m:r>
            </m:sup>
          </m:sSup>
          <m:r>
            <m:rPr>
              <m:sty m:val="p"/>
            </m:rPr>
            <m:t>≫</m:t>
          </m:r>
          <m:r>
            <m:t>1</m:t>
          </m:r>
          <m:r>
            <m:rPr>
              <m:sty m:val="p"/>
            </m:rPr>
            <m:t>)</m:t>
          </m:r>
          <m:r>
            <m:rPr>
              <m:sty m:val="p"/>
            </m:rPr>
            <m:t>,</m:t>
          </m:r>
        </m:oMath>
      </m:oMathPara>
    </w:p>
    <w:p>
      <w:pPr>
        <w:pStyle w:val="FirstParagraph"/>
      </w:pPr>
      <w:r>
        <w:t xml:space="preserve">so predictors with a large mean relative to their spread are hardest. The aggregates have</w:t>
      </w:r>
      <w:r>
        <w:t xml:space="preserve"> </w:t>
      </w:r>
      <m:oMath>
        <m:acc>
          <m:accPr>
            <m:chr m:val="‾"/>
          </m:accPr>
          <m:e>
            <m:r>
              <m:t>x</m:t>
            </m:r>
          </m:e>
        </m:acc>
        <m:r>
          <m:rPr>
            <m:sty m:val="p"/>
          </m:rPr>
          <m:t>/</m:t>
        </m:r>
        <m:r>
          <m:t>s</m:t>
        </m:r>
        <m:r>
          <m:rPr>
            <m:sty m:val="p"/>
          </m:rPr>
          <m:t>≈</m:t>
        </m:r>
        <m:r>
          <m:t>9</m:t>
        </m:r>
      </m:oMath>
      <w:r>
        <w:t xml:space="preserve"> </w:t>
      </w:r>
      <w:r>
        <w:t xml:space="preserve">to</w:t>
      </w:r>
      <w:r>
        <w:t xml:space="preserve"> </w:t>
      </w:r>
      <m:oMath>
        <m:r>
          <m:t>13</m:t>
        </m:r>
      </m:oMath>
      <w:r>
        <w:t xml:space="preserve">, compared with about 1 for superplasticizer.</w:t>
      </w:r>
    </w:p>
    <w:p>
      <w:pPr>
        <w:pStyle w:val="BodyText"/>
      </w:pPr>
      <w:r>
        <w:t xml:space="preserve">The direction of the true slope also matters. Starting from zero, the fast eigendirection mostly scales</w:t>
      </w:r>
      <w:r>
        <w:t xml:space="preserve"> </w:t>
      </w:r>
      <m:oMath>
        <m:r>
          <m:t>x</m:t>
        </m:r>
      </m:oMath>
      <w:r>
        <w:t xml:space="preserve">, so gradient descent first fits</w:t>
      </w:r>
      <w:r>
        <w:t xml:space="preserve"> </w:t>
      </w:r>
      <m:oMath>
        <m:acc>
          <m:accPr>
            <m:chr m:val="̂"/>
          </m:accPr>
          <m:e>
            <m:r>
              <m:t>y</m:t>
            </m:r>
          </m:e>
        </m:acc>
        <m:r>
          <m:rPr>
            <m:sty m:val="p"/>
          </m:rPr>
          <m:t>≈</m:t>
        </m:r>
        <m:r>
          <m:t>m</m:t>
        </m:r>
        <m:r>
          <m:t>x</m:t>
        </m:r>
      </m:oMath>
      <w:r>
        <w:t xml:space="preserve"> </w:t>
      </w:r>
      <w:r>
        <w:t xml:space="preserve">through the origin. For cement, whose true slope is positive, this alone already beats the mean. For predictors whose optimal slope is negative, the early fit is wrong-signed: after 5,000 iterations water’s slope was</w:t>
      </w:r>
      <w:r>
        <w:t xml:space="preserve"> </w:t>
      </w:r>
      <m:oMath>
        <m:r>
          <m:rPr>
            <m:sty m:val="p"/>
          </m:rPr>
          <m:t>+</m:t>
        </m:r>
        <m:r>
          <m:t>0.197</m:t>
        </m:r>
      </m:oMath>
      <w:r>
        <w:t xml:space="preserve"> </w:t>
      </w:r>
      <w:r>
        <w:t xml:space="preserve">against an optimum of</w:t>
      </w:r>
      <w:r>
        <w:t xml:space="preserve"> </w:t>
      </w:r>
      <m:oMath>
        <m:r>
          <m:rPr>
            <m:sty m:val="p"/>
          </m:rPr>
          <m:t>−</m:t>
        </m:r>
        <m:r>
          <m:t>0.207</m:t>
        </m:r>
      </m:oMath>
      <w:r>
        <w:t xml:space="preserve">, and fly ash and both aggregates showed the same reversal. Their</w:t>
      </w:r>
      <w:r>
        <w:t xml:space="preserve"> </w:t>
      </w:r>
      <m:oMath>
        <m:sSup>
          <m:e>
            <m:r>
              <m:t>R</m:t>
            </m:r>
          </m:e>
          <m:sup>
            <m:r>
              <m:t>2</m:t>
            </m:r>
          </m:sup>
        </m:sSup>
      </m:oMath>
      <w:r>
        <w:t xml:space="preserve"> </w:t>
      </w:r>
      <w:r>
        <w:t xml:space="preserve">stays negative until the slowly moving intercept catches up.</w:t>
      </w:r>
    </w:p>
    <w:p>
      <w:pPr>
        <w:pStyle w:val="BodyText"/>
      </w:pPr>
      <w:r>
        <w:rPr>
          <w:b/>
          <w:bCs/>
        </w:rPr>
        <w:t xml:space="preserve">Coefficients.</w:t>
      </w:r>
      <w:r>
        <w:t xml:space="preserve"> </w:t>
      </w:r>
      <w:r>
        <w:t xml:space="preserve">The univariate and multivariate coefficients are not identical (Table 6); three even reverse sign (fly ash and both aggregates). The gap has an exact in-sample decomposition. Multivariate residuals are uncorrelated with every predictor, so each univariate slope equals</w:t>
      </w:r>
    </w:p>
    <w:p>
      <w:pPr>
        <w:pStyle w:val="BodyText"/>
      </w:pPr>
      <m:oMathPara>
        <m:oMathParaPr>
          <m:jc m:val="center"/>
        </m:oMathParaPr>
        <m:oMath>
          <m:sSubSup>
            <m:e>
              <m:acc>
                <m:accPr>
                  <m:chr m:val="̂"/>
                </m:accPr>
                <m:e>
                  <m:r>
                    <m:t>b</m:t>
                  </m:r>
                </m:e>
              </m:acc>
            </m:e>
            <m:sub>
              <m:r>
                <m:t>j</m:t>
              </m:r>
            </m:sub>
            <m:sup>
              <m:r>
                <m:t> </m:t>
              </m:r>
              <m:r>
                <m:rPr>
                  <m:sty m:val="p"/>
                </m:rPr>
                <m:t>u</m:t>
              </m:r>
              <m:r>
                <m:rPr>
                  <m:sty m:val="p"/>
                </m:rPr>
                <m:t>n</m:t>
              </m:r>
              <m:r>
                <m:rPr>
                  <m:sty m:val="p"/>
                </m:rPr>
                <m:t>i</m:t>
              </m:r>
            </m:sup>
          </m:sSubSup>
          <m:r>
            <m:rPr>
              <m:sty m:val="p"/>
            </m:rPr>
            <m:t>=</m:t>
          </m:r>
          <m:f>
            <m:fPr>
              <m:type m:val="bar"/>
            </m:fPr>
            <m:num>
              <m:acc>
                <m:accPr>
                  <m:chr m:val="̂"/>
                </m:accPr>
                <m:e>
                  <m:r>
                    <m:rPr>
                      <m:sty m:val="p"/>
                    </m:rPr>
                    <m:t>C</m:t>
                  </m:r>
                  <m:r>
                    <m:rPr>
                      <m:sty m:val="p"/>
                    </m:rPr>
                    <m:t>o</m:t>
                  </m:r>
                  <m:r>
                    <m:rPr>
                      <m:sty m:val="p"/>
                    </m:rPr>
                    <m:t>v</m:t>
                  </m:r>
                </m:e>
              </m:acc>
              <m:r>
                <m:rPr>
                  <m:sty m:val="p"/>
                </m:rPr>
                <m:t>(</m:t>
              </m:r>
              <m:sSub>
                <m:e>
                  <m:r>
                    <m:t>x</m:t>
                  </m:r>
                </m:e>
                <m:sub>
                  <m:r>
                    <m:t>j</m:t>
                  </m:r>
                </m:sub>
              </m:sSub>
              <m:r>
                <m:rPr>
                  <m:sty m:val="p"/>
                </m:rPr>
                <m:t>,</m:t>
              </m:r>
              <m:r>
                <m:t>y</m:t>
              </m:r>
              <m:r>
                <m:rPr>
                  <m:sty m:val="p"/>
                </m:rPr>
                <m:t>)</m:t>
              </m:r>
            </m:num>
            <m:den>
              <m:acc>
                <m:accPr>
                  <m:chr m:val="̂"/>
                </m:accPr>
                <m:e>
                  <m:r>
                    <m:rPr>
                      <m:sty m:val="p"/>
                    </m:rPr>
                    <m:t>V</m:t>
                  </m:r>
                  <m:r>
                    <m:rPr>
                      <m:sty m:val="p"/>
                    </m:rPr>
                    <m:t>a</m:t>
                  </m:r>
                  <m:r>
                    <m:rPr>
                      <m:sty m:val="p"/>
                    </m:rPr>
                    <m:t>r</m:t>
                  </m:r>
                </m:e>
              </m:acc>
              <m:r>
                <m:rPr>
                  <m:sty m:val="p"/>
                </m:rPr>
                <m:t>(</m:t>
              </m:r>
              <m:sSub>
                <m:e>
                  <m:r>
                    <m:t>x</m:t>
                  </m:r>
                </m:e>
                <m:sub>
                  <m:r>
                    <m:t>j</m:t>
                  </m:r>
                </m:sub>
              </m:sSub>
              <m:r>
                <m:rPr>
                  <m:sty m:val="p"/>
                </m:rPr>
                <m:t>)</m:t>
              </m:r>
            </m:den>
          </m:f>
          <m:r>
            <m:rPr>
              <m:sty m:val="p"/>
            </m:rPr>
            <m:t>=</m:t>
          </m:r>
          <m:sSub>
            <m:e>
              <m:acc>
                <m:accPr>
                  <m:chr m:val="̂"/>
                </m:accPr>
                <m:e>
                  <m:r>
                    <m:t>β</m:t>
                  </m:r>
                </m:e>
              </m:acc>
            </m:e>
            <m:sub>
              <m:r>
                <m:t>j</m:t>
              </m:r>
            </m:sub>
          </m:sSub>
          <m:r>
            <m:rPr>
              <m:sty m:val="p"/>
            </m:rPr>
            <m:t>+</m:t>
          </m:r>
          <m:nary>
            <m:naryPr>
              <m:chr m:val="∑"/>
              <m:limLoc m:val="undOvr"/>
              <m:subHide m:val="off"/>
              <m:supHide m:val="on"/>
            </m:naryPr>
            <m:sub>
              <m:r>
                <m:t>k</m:t>
              </m:r>
              <m:r>
                <m:rPr>
                  <m:sty m:val="p"/>
                </m:rPr>
                <m:t>≠</m:t>
              </m:r>
              <m:r>
                <m:t>j</m:t>
              </m:r>
            </m:sub>
            <m:sup>
              <m:r>
                <m:t>​</m:t>
              </m:r>
            </m:sup>
            <m:e>
              <m:sSub>
                <m:e>
                  <m:acc>
                    <m:accPr>
                      <m:chr m:val="̂"/>
                    </m:accPr>
                    <m:e>
                      <m:r>
                        <m:t>β</m:t>
                      </m:r>
                    </m:e>
                  </m:acc>
                </m:e>
                <m:sub>
                  <m:r>
                    <m:t>k</m:t>
                  </m:r>
                </m:sub>
              </m:sSub>
            </m:e>
          </m:nary>
          <m:r>
            <m:t> </m:t>
          </m:r>
          <m:f>
            <m:fPr>
              <m:type m:val="bar"/>
            </m:fPr>
            <m:num>
              <m:acc>
                <m:accPr>
                  <m:chr m:val="̂"/>
                </m:accPr>
                <m:e>
                  <m:r>
                    <m:rPr>
                      <m:sty m:val="p"/>
                    </m:rPr>
                    <m:t>C</m:t>
                  </m:r>
                  <m:r>
                    <m:rPr>
                      <m:sty m:val="p"/>
                    </m:rPr>
                    <m:t>o</m:t>
                  </m:r>
                  <m:r>
                    <m:rPr>
                      <m:sty m:val="p"/>
                    </m:rPr>
                    <m:t>v</m:t>
                  </m:r>
                </m:e>
              </m:acc>
              <m:r>
                <m:rPr>
                  <m:sty m:val="p"/>
                </m:rPr>
                <m:t>(</m:t>
              </m:r>
              <m:sSub>
                <m:e>
                  <m:r>
                    <m:t>x</m:t>
                  </m:r>
                </m:e>
                <m:sub>
                  <m:r>
                    <m:t>j</m:t>
                  </m:r>
                </m:sub>
              </m:sSub>
              <m:r>
                <m:rPr>
                  <m:sty m:val="p"/>
                </m:rPr>
                <m:t>,</m:t>
              </m:r>
              <m:sSub>
                <m:e>
                  <m:r>
                    <m:t>x</m:t>
                  </m:r>
                </m:e>
                <m:sub>
                  <m:r>
                    <m:t>k</m:t>
                  </m:r>
                </m:sub>
              </m:sSub>
              <m:r>
                <m:rPr>
                  <m:sty m:val="p"/>
                </m:rPr>
                <m:t>)</m:t>
              </m:r>
            </m:num>
            <m:den>
              <m:acc>
                <m:accPr>
                  <m:chr m:val="̂"/>
                </m:accPr>
                <m:e>
                  <m:r>
                    <m:rPr>
                      <m:sty m:val="p"/>
                    </m:rPr>
                    <m:t>V</m:t>
                  </m:r>
                  <m:r>
                    <m:rPr>
                      <m:sty m:val="p"/>
                    </m:rPr>
                    <m:t>a</m:t>
                  </m:r>
                  <m:r>
                    <m:rPr>
                      <m:sty m:val="p"/>
                    </m:rPr>
                    <m:t>r</m:t>
                  </m:r>
                </m:e>
              </m:acc>
              <m:r>
                <m:rPr>
                  <m:sty m:val="p"/>
                </m:rPr>
                <m:t>(</m:t>
              </m:r>
              <m:sSub>
                <m:e>
                  <m:r>
                    <m:t>x</m:t>
                  </m:r>
                </m:e>
                <m:sub>
                  <m:r>
                    <m:t>j</m:t>
                  </m:r>
                </m:sub>
              </m:sSub>
              <m:r>
                <m:rPr>
                  <m:sty m:val="p"/>
                </m:rPr>
                <m:t>)</m:t>
              </m:r>
            </m:den>
          </m:f>
          <m:r>
            <m:rPr>
              <m:sty m:val="p"/>
            </m:rPr>
            <m:t>.</m:t>
          </m:r>
        </m:oMath>
      </m:oMathPara>
    </w:p>
    <w:p>
      <w:pPr>
        <w:pStyle w:val="FirstParagraph"/>
      </w:pPr>
      <w:r>
        <w:t xml:space="preserve">The sum is the omitted-variable bias: a univariate model credits</w:t>
      </w:r>
      <w:r>
        <w:t xml:space="preserve"> </w:t>
      </w:r>
      <m:oMath>
        <m:sSub>
          <m:e>
            <m:r>
              <m:t>x</m:t>
            </m:r>
          </m:e>
          <m:sub>
            <m:r>
              <m:t>j</m:t>
            </m:r>
          </m:sub>
        </m:sSub>
      </m:oMath>
      <w:r>
        <w:t xml:space="preserve"> </w:t>
      </w:r>
      <w:r>
        <w:t xml:space="preserve">with the effects of every correlated predictor it omits. Figure 4 shows those correlations. Fly ash tends to replace cement (</w:t>
      </w:r>
      <m:oMath>
        <m:r>
          <m:t>r</m:t>
        </m:r>
        <m:r>
          <m:rPr>
            <m:sty m:val="p"/>
          </m:rPr>
          <m:t>=</m:t>
        </m:r>
        <m:r>
          <m:rPr>
            <m:sty m:val="p"/>
          </m:rPr>
          <m:t>−</m:t>
        </m:r>
        <m:r>
          <m:t>0.48</m:t>
        </m:r>
      </m:oMath>
      <w:r>
        <w:t xml:space="preserve">), so its univariate slope absorbs the missing cement effect (</w:t>
      </w:r>
      <m:oMath>
        <m:r>
          <m:rPr>
            <m:sty m:val="p"/>
          </m:rPr>
          <m:t>−</m:t>
        </m:r>
        <m:r>
          <m:t>0.105</m:t>
        </m:r>
      </m:oMath>
      <w:r>
        <w:t xml:space="preserve">) and turns negative. Superplasticizer’s univariate slope (0.888) is 7.6 times its multivariate weight, because superplasticized mixes also contain more fly ash (</w:t>
      </w:r>
      <m:oMath>
        <m:r>
          <m:rPr>
            <m:sty m:val="p"/>
          </m:rPr>
          <m:t>+</m:t>
        </m:r>
        <m:r>
          <m:t>0.367</m:t>
        </m:r>
      </m:oMath>
      <w:r>
        <w:t xml:space="preserve">) and much less water (</w:t>
      </w:r>
      <m:oMath>
        <m:r>
          <m:t>r</m:t>
        </m:r>
        <m:r>
          <m:rPr>
            <m:sty m:val="p"/>
          </m:rPr>
          <m:t>=</m:t>
        </m:r>
        <m:r>
          <m:rPr>
            <m:sty m:val="p"/>
          </m:rPr>
          <m:t>−</m:t>
        </m:r>
        <m:r>
          <m:t>0.66</m:t>
        </m:r>
      </m:oMath>
      <w:r>
        <w:t xml:space="preserve">,</w:t>
      </w:r>
      <w:r>
        <w:t xml:space="preserve"> </w:t>
      </w:r>
      <m:oMath>
        <m:r>
          <m:rPr>
            <m:sty m:val="p"/>
          </m:rPr>
          <m:t>+</m:t>
        </m:r>
        <m:r>
          <m:t>0.329</m:t>
        </m:r>
      </m:oMath>
      <w:r>
        <w:t xml:space="preserve">).</w:t>
      </w:r>
    </w:p>
    <w:p>
      <w:pPr>
        <w:pStyle w:val="TableCaption"/>
      </w:pPr>
      <w:r>
        <w:rPr>
          <w:b/>
          <w:bCs/>
        </w:rPr>
        <w:t xml:space="preserve">Table 6.</w:t>
      </w:r>
      <w:r>
        <w:t xml:space="preserve"> </w:t>
      </w:r>
      <w:r>
        <w:t xml:space="preserve">Optimal univariate slopes versus optimal multivariate weights (untransformed, scikit-learn). The omitted-variable term is the sum in the decomposition above, and the last column names its largest single component.</w:t>
      </w:r>
    </w:p>
    <w:tbl>
      <w:tblPr>
        <w:tblStyle w:val="Table"/>
        <w:tblW w:type="dxa" w:w="9359"/>
        <w:jc w:val="center"/>
        <w:tblBorders>
          <w:top w:val="single" w:sz="8" w:space="0" w:color="1F3A5F"/>
          <w:left w:val="nil"/>
          <w:bottom w:val="single" w:sz="8" w:space="0" w:color="1F3A5F"/>
          <w:right w:val="nil"/>
          <w:insideH w:val="single" w:sz="2" w:space="0" w:color="D0D0D0"/>
          <w:insideV w:val="nil"/>
        </w:tblBorders>
        <w:tblLayout w:type="fixed"/>
        <w:tblCellMar>
          <w:top w:w="30" w:type="dxa"/>
          <w:left w:w="80" w:type="dxa"/>
          <w:bottom w:w="30" w:type="dxa"/>
          <w:right w:w="80" w:type="dxa"/>
        </w:tblCellMar>
        <w:tblLook w:firstRow="1" w:lastRow="0" w:firstColumn="0" w:lastColumn="0" w:noHBand="0" w:noVBand="0" w:val="0020"/>
        <w:tblCaption w:val="Table 6. Optimal univariate slopes versus optimal multivariate weights (untransformed, scikit-learn). The omitted-variable term is the sum in the decomposition above, and the last column names its largest single component."/>
      </w:tblPr>
      <w:tblGrid>
        <w:gridCol w:w="2146"/>
        <w:gridCol w:w="1360"/>
        <w:gridCol w:w="1600"/>
        <w:gridCol w:w="2080"/>
        <w:gridCol w:w="2173"/>
      </w:tblGrid>
      <w:tr>
        <w:trPr>
          <w:cantSplit/>
          <w:tblHeader w:val="on"/>
        </w:trPr>
        <w:tc>
          <w:tcPr>
            <w:tcW w:w="2146" w:type="dxa"/>
            <w:tcBorders>
              <w:bottom w:val="single" w:sz="6" w:space="0" w:color="1F3A5F"/>
            </w:tcBorders>
            <w:shd w:val="clear" w:color="auto" w:fill="E9EEF5"/>
            <w:vAlign w:val="bottom"/>
          </w:tcPr>
          <w:p>
            <w:pPr>
              <w:pStyle w:val="Compact"/>
              <w:keepNext/>
              <w:spacing w:before="0" w:after="0" w:line="276" w:lineRule="auto"/>
              <w:jc w:val="left"/>
            </w:pPr>
            <w:r>
              <w:rPr>
                <w:b/>
                <w:sz w:val="22"/>
              </w:rPr>
              <w:t xml:space="preserve">Feature</w:t>
            </w:r>
          </w:p>
        </w:tc>
        <w:tc>
          <w:tcPr>
            <w:tcW w:w="1360" w:type="dxa"/>
            <w:tcBorders>
              <w:bottom w:val="single" w:sz="6" w:space="0" w:color="1F3A5F"/>
            </w:tcBorders>
            <w:shd w:val="clear" w:color="auto" w:fill="E9EEF5"/>
            <w:vAlign w:val="bottom"/>
          </w:tcPr>
          <w:p>
            <w:pPr>
              <w:pStyle w:val="Compact"/>
              <w:keepNext/>
              <w:spacing w:before="0" w:after="0" w:line="276" w:lineRule="auto"/>
              <w:jc w:val="right"/>
            </w:pPr>
            <w:r>
              <w:rPr>
                <w:b/>
                <w:sz w:val="22"/>
              </w:rPr>
              <w:t xml:space="preserve">Univariate</w:t>
            </w:r>
            <w:r>
              <w:rPr>
                <w:b/>
                <w:sz w:val="22"/>
              </w:rPr>
              <w:t xml:space="preserve"> </w:t>
            </w:r>
            <m:oMath>
              <m:sSub>
                <m:e>
                  <m:acc>
                    <m:accPr>
                      <m:chr m:val="̂"/>
                    </m:accPr>
                    <m:e>
                      <m:r>
                        <w:rPr>
                          <w:sz w:val="22"/>
                          <w:szCs w:val="22"/>
                        </w:rPr>
                        <m:t>b</m:t>
                      </m:r>
                    </m:e>
                  </m:acc>
                </m:e>
                <m:sub>
                  <m:r>
                    <w:rPr>
                      <w:sz w:val="22"/>
                      <w:szCs w:val="22"/>
                    </w:rPr>
                    <m:t>j</m:t>
                  </m:r>
                </m:sub>
              </m:sSub>
            </m:oMath>
          </w:p>
        </w:tc>
        <w:tc>
          <w:tcPr>
            <w:tcW w:w="1600" w:type="dxa"/>
            <w:tcBorders>
              <w:bottom w:val="single" w:sz="6" w:space="0" w:color="1F3A5F"/>
            </w:tcBorders>
            <w:shd w:val="clear" w:color="auto" w:fill="E9EEF5"/>
            <w:vAlign w:val="bottom"/>
          </w:tcPr>
          <w:p>
            <w:pPr>
              <w:pStyle w:val="Compact"/>
              <w:keepNext/>
              <w:spacing w:before="0" w:after="0" w:line="276" w:lineRule="auto"/>
              <w:jc w:val="right"/>
            </w:pPr>
            <w:r>
              <w:rPr>
                <w:b/>
                <w:sz w:val="22"/>
              </w:rPr>
              <w:t xml:space="preserve">Multivariate</w:t>
            </w:r>
            <w:r>
              <w:rPr>
                <w:b/>
                <w:sz w:val="22"/>
              </w:rPr>
              <w:t xml:space="preserve"> </w:t>
            </w:r>
            <m:oMath>
              <m:sSub>
                <m:e>
                  <m:acc>
                    <m:accPr>
                      <m:chr m:val="̂"/>
                    </m:accPr>
                    <m:e>
                      <m:r>
                        <w:rPr>
                          <w:sz w:val="22"/>
                          <w:szCs w:val="22"/>
                        </w:rPr>
                        <m:t>β</m:t>
                      </m:r>
                    </m:e>
                  </m:acc>
                </m:e>
                <m:sub>
                  <m:r>
                    <w:rPr>
                      <w:sz w:val="22"/>
                      <w:szCs w:val="22"/>
                    </w:rPr>
                    <m:t>j</m:t>
                  </m:r>
                </m:sub>
              </m:sSub>
            </m:oMath>
          </w:p>
        </w:tc>
        <w:tc>
          <w:tcPr>
            <w:tcW w:w="2080" w:type="dxa"/>
            <w:tcBorders>
              <w:bottom w:val="single" w:sz="6" w:space="0" w:color="1F3A5F"/>
            </w:tcBorders>
            <w:shd w:val="clear" w:color="auto" w:fill="E9EEF5"/>
            <w:vAlign w:val="bottom"/>
          </w:tcPr>
          <w:p>
            <w:pPr>
              <w:pStyle w:val="Compact"/>
              <w:keepNext/>
              <w:spacing w:before="0" w:after="0" w:line="276" w:lineRule="auto"/>
              <w:jc w:val="right"/>
            </w:pPr>
            <w:r>
              <w:rPr>
                <w:b/>
                <w:sz w:val="22"/>
              </w:rPr>
              <w:t xml:space="preserve">Omitted-variable term</w:t>
            </w:r>
          </w:p>
        </w:tc>
        <w:tc>
          <w:tcPr>
            <w:tcW w:w="2173" w:type="dxa"/>
            <w:tcBorders>
              <w:bottom w:val="single" w:sz="6" w:space="0" w:color="1F3A5F"/>
            </w:tcBorders>
            <w:shd w:val="clear" w:color="auto" w:fill="E9EEF5"/>
            <w:vAlign w:val="bottom"/>
          </w:tcPr>
          <w:p>
            <w:pPr>
              <w:pStyle w:val="Compact"/>
              <w:keepNext/>
              <w:spacing w:before="0" w:after="0" w:line="276" w:lineRule="auto"/>
              <w:jc w:val="left"/>
            </w:pPr>
            <w:r>
              <w:rPr>
                <w:b/>
                <w:sz w:val="22"/>
              </w:rPr>
              <w:t xml:space="preserve">Largest contributor</w:t>
            </w:r>
          </w:p>
        </w:tc>
      </w:tr>
      <w:tr>
        <w:trPr>
          <w:cantSplit/>
        </w:trPr>
        <w:tc>
          <w:tcPr>
            <w:tcW w:w="2146" w:type="dxa"/>
          </w:tcPr>
          <w:p>
            <w:pPr>
              <w:pStyle w:val="Compact"/>
              <w:keepNext/>
              <w:spacing w:before="0" w:after="0" w:line="276" w:lineRule="auto"/>
              <w:jc w:val="left"/>
            </w:pPr>
            <w:r>
              <w:rPr>
                <w:sz w:val="22"/>
              </w:rPr>
              <w:t xml:space="preserve">Cement</w:t>
            </w:r>
          </w:p>
        </w:tc>
        <w:tc>
          <w:tcPr>
            <w:tcW w:w="1360" w:type="dxa"/>
          </w:tcPr>
          <w:p>
            <w:pPr>
              <w:pStyle w:val="Compact"/>
              <w:keepNext/>
              <w:spacing w:before="0" w:after="0" w:line="276" w:lineRule="auto"/>
              <w:jc w:val="right"/>
            </w:pPr>
            <w:r>
              <w:rPr>
                <w:sz w:val="22"/>
              </w:rPr>
              <w:t xml:space="preserve">0.0808</w:t>
            </w:r>
          </w:p>
        </w:tc>
        <w:tc>
          <w:tcPr>
            <w:tcW w:w="1600" w:type="dxa"/>
          </w:tcPr>
          <w:p>
            <w:pPr>
              <w:pStyle w:val="Compact"/>
              <w:keepNext/>
              <w:spacing w:before="0" w:after="0" w:line="276" w:lineRule="auto"/>
              <w:jc w:val="right"/>
            </w:pPr>
            <w:r>
              <w:rPr>
                <w:sz w:val="22"/>
              </w:rPr>
              <w:t xml:space="preserve">0.1324</w:t>
            </w:r>
          </w:p>
        </w:tc>
        <w:tc>
          <w:tcPr>
            <w:tcW w:w="2080" w:type="dxa"/>
          </w:tcPr>
          <w:p>
            <w:pPr>
              <w:pStyle w:val="Compact"/>
              <w:keepNext/>
              <w:spacing w:before="0" w:after="0" w:line="276" w:lineRule="auto"/>
              <w:jc w:val="right"/>
            </w:pPr>
            <w:r>
              <w:rPr>
                <w:sz w:val="22"/>
              </w:rPr>
              <w:t xml:space="preserve">−0.0517</w:t>
            </w:r>
          </w:p>
        </w:tc>
        <w:tc>
          <w:tcPr>
            <w:tcW w:w="2173" w:type="dxa"/>
          </w:tcPr>
          <w:p>
            <w:pPr>
              <w:pStyle w:val="Compact"/>
              <w:keepNext/>
              <w:spacing w:before="0" w:after="0" w:line="276" w:lineRule="auto"/>
              <w:jc w:val="left"/>
            </w:pPr>
            <w:r>
              <w:rPr>
                <w:sz w:val="22"/>
              </w:rPr>
              <w:t xml:space="preserve">Fly Ash (−0.031)</w:t>
            </w:r>
          </w:p>
        </w:tc>
      </w:tr>
      <w:tr>
        <w:trPr>
          <w:cantSplit/>
        </w:trPr>
        <w:tc>
          <w:tcPr>
            <w:tcW w:w="2146" w:type="dxa"/>
          </w:tcPr>
          <w:p>
            <w:pPr>
              <w:pStyle w:val="Compact"/>
              <w:keepNext/>
              <w:spacing w:before="0" w:after="0" w:line="276" w:lineRule="auto"/>
              <w:jc w:val="left"/>
            </w:pPr>
            <w:r>
              <w:rPr>
                <w:sz w:val="22"/>
              </w:rPr>
              <w:t xml:space="preserve">Blast Furnace Slag</w:t>
            </w:r>
          </w:p>
        </w:tc>
        <w:tc>
          <w:tcPr>
            <w:tcW w:w="1360" w:type="dxa"/>
          </w:tcPr>
          <w:p>
            <w:pPr>
              <w:pStyle w:val="Compact"/>
              <w:keepNext/>
              <w:spacing w:before="0" w:after="0" w:line="276" w:lineRule="auto"/>
              <w:jc w:val="right"/>
            </w:pPr>
            <w:r>
              <w:rPr>
                <w:sz w:val="22"/>
              </w:rPr>
              <w:t xml:space="preserve">0.0316</w:t>
            </w:r>
          </w:p>
        </w:tc>
        <w:tc>
          <w:tcPr>
            <w:tcW w:w="1600" w:type="dxa"/>
          </w:tcPr>
          <w:p>
            <w:pPr>
              <w:pStyle w:val="Compact"/>
              <w:keepNext/>
              <w:spacing w:before="0" w:after="0" w:line="276" w:lineRule="auto"/>
              <w:jc w:val="right"/>
            </w:pPr>
            <w:r>
              <w:rPr>
                <w:sz w:val="22"/>
              </w:rPr>
              <w:t xml:space="preserve">0.1247</w:t>
            </w:r>
          </w:p>
        </w:tc>
        <w:tc>
          <w:tcPr>
            <w:tcW w:w="2080" w:type="dxa"/>
          </w:tcPr>
          <w:p>
            <w:pPr>
              <w:pStyle w:val="Compact"/>
              <w:keepNext/>
              <w:spacing w:before="0" w:after="0" w:line="276" w:lineRule="auto"/>
              <w:jc w:val="right"/>
            </w:pPr>
            <w:r>
              <w:rPr>
                <w:sz w:val="22"/>
              </w:rPr>
              <w:t xml:space="preserve">−0.0931</w:t>
            </w:r>
          </w:p>
        </w:tc>
        <w:tc>
          <w:tcPr>
            <w:tcW w:w="2173" w:type="dxa"/>
          </w:tcPr>
          <w:p>
            <w:pPr>
              <w:pStyle w:val="Compact"/>
              <w:keepNext/>
              <w:spacing w:before="0" w:after="0" w:line="276" w:lineRule="auto"/>
              <w:jc w:val="left"/>
            </w:pPr>
            <w:r>
              <w:rPr>
                <w:sz w:val="22"/>
              </w:rPr>
              <w:t xml:space="preserve">Cement (−0.041)</w:t>
            </w:r>
          </w:p>
        </w:tc>
      </w:tr>
      <w:tr>
        <w:trPr>
          <w:cantSplit/>
        </w:trPr>
        <w:tc>
          <w:tcPr>
            <w:tcW w:w="2146" w:type="dxa"/>
          </w:tcPr>
          <w:p>
            <w:pPr>
              <w:pStyle w:val="Compact"/>
              <w:keepNext/>
              <w:spacing w:before="0" w:after="0" w:line="276" w:lineRule="auto"/>
              <w:jc w:val="left"/>
            </w:pPr>
            <w:r>
              <w:rPr>
                <w:sz w:val="22"/>
              </w:rPr>
              <w:t xml:space="preserve">Fly Ash</w:t>
            </w:r>
          </w:p>
        </w:tc>
        <w:tc>
          <w:tcPr>
            <w:tcW w:w="1360" w:type="dxa"/>
          </w:tcPr>
          <w:p>
            <w:pPr>
              <w:pStyle w:val="Compact"/>
              <w:keepNext/>
              <w:spacing w:before="0" w:after="0" w:line="276" w:lineRule="auto"/>
              <w:jc w:val="right"/>
            </w:pPr>
            <w:r>
              <w:rPr>
                <w:sz w:val="22"/>
              </w:rPr>
              <w:t xml:space="preserve">−0.0534</w:t>
            </w:r>
          </w:p>
        </w:tc>
        <w:tc>
          <w:tcPr>
            <w:tcW w:w="1600" w:type="dxa"/>
          </w:tcPr>
          <w:p>
            <w:pPr>
              <w:pStyle w:val="Compact"/>
              <w:keepNext/>
              <w:spacing w:before="0" w:after="0" w:line="276" w:lineRule="auto"/>
              <w:jc w:val="right"/>
            </w:pPr>
            <w:r>
              <w:rPr>
                <w:sz w:val="22"/>
              </w:rPr>
              <w:t xml:space="preserve">0.1061</w:t>
            </w:r>
          </w:p>
        </w:tc>
        <w:tc>
          <w:tcPr>
            <w:tcW w:w="2080" w:type="dxa"/>
          </w:tcPr>
          <w:p>
            <w:pPr>
              <w:pStyle w:val="Compact"/>
              <w:keepNext/>
              <w:spacing w:before="0" w:after="0" w:line="276" w:lineRule="auto"/>
              <w:jc w:val="right"/>
            </w:pPr>
            <w:r>
              <w:rPr>
                <w:sz w:val="22"/>
              </w:rPr>
              <w:t xml:space="preserve">−0.1596</w:t>
            </w:r>
          </w:p>
        </w:tc>
        <w:tc>
          <w:tcPr>
            <w:tcW w:w="2173" w:type="dxa"/>
          </w:tcPr>
          <w:p>
            <w:pPr>
              <w:pStyle w:val="Compact"/>
              <w:keepNext/>
              <w:spacing w:before="0" w:after="0" w:line="276" w:lineRule="auto"/>
              <w:jc w:val="left"/>
            </w:pPr>
            <w:r>
              <w:rPr>
                <w:sz w:val="22"/>
              </w:rPr>
              <w:t xml:space="preserve">Cement (−0.105)</w:t>
            </w:r>
          </w:p>
        </w:tc>
      </w:tr>
      <w:tr>
        <w:trPr>
          <w:cantSplit/>
        </w:trPr>
        <w:tc>
          <w:tcPr>
            <w:tcW w:w="2146" w:type="dxa"/>
          </w:tcPr>
          <w:p>
            <w:pPr>
              <w:pStyle w:val="Compact"/>
              <w:keepNext/>
              <w:spacing w:before="0" w:after="0" w:line="276" w:lineRule="auto"/>
              <w:jc w:val="left"/>
            </w:pPr>
            <w:r>
              <w:rPr>
                <w:sz w:val="22"/>
              </w:rPr>
              <w:t xml:space="preserve">Water</w:t>
            </w:r>
          </w:p>
        </w:tc>
        <w:tc>
          <w:tcPr>
            <w:tcW w:w="1360" w:type="dxa"/>
          </w:tcPr>
          <w:p>
            <w:pPr>
              <w:pStyle w:val="Compact"/>
              <w:keepNext/>
              <w:spacing w:before="0" w:after="0" w:line="276" w:lineRule="auto"/>
              <w:jc w:val="right"/>
            </w:pPr>
            <w:r>
              <w:rPr>
                <w:sz w:val="22"/>
              </w:rPr>
              <w:t xml:space="preserve">−0.2070</w:t>
            </w:r>
          </w:p>
        </w:tc>
        <w:tc>
          <w:tcPr>
            <w:tcW w:w="1600" w:type="dxa"/>
          </w:tcPr>
          <w:p>
            <w:pPr>
              <w:pStyle w:val="Compact"/>
              <w:keepNext/>
              <w:spacing w:before="0" w:after="0" w:line="276" w:lineRule="auto"/>
              <w:jc w:val="right"/>
            </w:pPr>
            <w:r>
              <w:rPr>
                <w:sz w:val="22"/>
              </w:rPr>
              <w:t xml:space="preserve">−0.1341</w:t>
            </w:r>
          </w:p>
        </w:tc>
        <w:tc>
          <w:tcPr>
            <w:tcW w:w="2080" w:type="dxa"/>
          </w:tcPr>
          <w:p>
            <w:pPr>
              <w:pStyle w:val="Compact"/>
              <w:keepNext/>
              <w:spacing w:before="0" w:after="0" w:line="276" w:lineRule="auto"/>
              <w:jc w:val="right"/>
            </w:pPr>
            <w:r>
              <w:rPr>
                <w:sz w:val="22"/>
              </w:rPr>
              <w:t xml:space="preserve">−0.0729</w:t>
            </w:r>
          </w:p>
        </w:tc>
        <w:tc>
          <w:tcPr>
            <w:tcW w:w="2173" w:type="dxa"/>
          </w:tcPr>
          <w:p>
            <w:pPr>
              <w:pStyle w:val="Compact"/>
              <w:keepNext/>
              <w:spacing w:before="0" w:after="0" w:line="276" w:lineRule="auto"/>
              <w:jc w:val="left"/>
            </w:pPr>
            <w:r>
              <w:rPr>
                <w:sz w:val="22"/>
              </w:rPr>
              <w:t xml:space="preserve">Age (+0.098)</w:t>
            </w:r>
          </w:p>
        </w:tc>
      </w:tr>
      <w:tr>
        <w:trPr>
          <w:cantSplit/>
        </w:trPr>
        <w:tc>
          <w:tcPr>
            <w:tcW w:w="2146" w:type="dxa"/>
          </w:tcPr>
          <w:p>
            <w:pPr>
              <w:pStyle w:val="Compact"/>
              <w:keepNext/>
              <w:spacing w:before="0" w:after="0" w:line="276" w:lineRule="auto"/>
              <w:jc w:val="left"/>
            </w:pPr>
            <w:r>
              <w:rPr>
                <w:sz w:val="22"/>
              </w:rPr>
              <w:t xml:space="preserve">Superplasticizer</w:t>
            </w:r>
          </w:p>
        </w:tc>
        <w:tc>
          <w:tcPr>
            <w:tcW w:w="1360" w:type="dxa"/>
          </w:tcPr>
          <w:p>
            <w:pPr>
              <w:pStyle w:val="Compact"/>
              <w:keepNext/>
              <w:spacing w:before="0" w:after="0" w:line="276" w:lineRule="auto"/>
              <w:jc w:val="right"/>
            </w:pPr>
            <w:r>
              <w:rPr>
                <w:sz w:val="22"/>
              </w:rPr>
              <w:t xml:space="preserve">0.8881</w:t>
            </w:r>
          </w:p>
        </w:tc>
        <w:tc>
          <w:tcPr>
            <w:tcW w:w="1600" w:type="dxa"/>
          </w:tcPr>
          <w:p>
            <w:pPr>
              <w:pStyle w:val="Compact"/>
              <w:keepNext/>
              <w:spacing w:before="0" w:after="0" w:line="276" w:lineRule="auto"/>
              <w:jc w:val="right"/>
            </w:pPr>
            <w:r>
              <w:rPr>
                <w:sz w:val="22"/>
              </w:rPr>
              <w:t xml:space="preserve">0.1172</w:t>
            </w:r>
          </w:p>
        </w:tc>
        <w:tc>
          <w:tcPr>
            <w:tcW w:w="2080" w:type="dxa"/>
          </w:tcPr>
          <w:p>
            <w:pPr>
              <w:pStyle w:val="Compact"/>
              <w:keepNext/>
              <w:spacing w:before="0" w:after="0" w:line="276" w:lineRule="auto"/>
              <w:jc w:val="right"/>
            </w:pPr>
            <w:r>
              <w:rPr>
                <w:sz w:val="22"/>
              </w:rPr>
              <w:t xml:space="preserve">+0.7709</w:t>
            </w:r>
          </w:p>
        </w:tc>
        <w:tc>
          <w:tcPr>
            <w:tcW w:w="2173" w:type="dxa"/>
          </w:tcPr>
          <w:p>
            <w:pPr>
              <w:pStyle w:val="Compact"/>
              <w:keepNext/>
              <w:spacing w:before="0" w:after="0" w:line="276" w:lineRule="auto"/>
              <w:jc w:val="left"/>
            </w:pPr>
            <w:r>
              <w:rPr>
                <w:sz w:val="22"/>
              </w:rPr>
              <w:t xml:space="preserve">Fly Ash (+0.367)</w:t>
            </w:r>
          </w:p>
        </w:tc>
      </w:tr>
      <w:tr>
        <w:trPr>
          <w:cantSplit/>
        </w:trPr>
        <w:tc>
          <w:tcPr>
            <w:tcW w:w="2146" w:type="dxa"/>
          </w:tcPr>
          <w:p>
            <w:pPr>
              <w:pStyle w:val="Compact"/>
              <w:keepNext/>
              <w:spacing w:before="0" w:after="0" w:line="276" w:lineRule="auto"/>
              <w:jc w:val="left"/>
            </w:pPr>
            <w:r>
              <w:rPr>
                <w:sz w:val="22"/>
              </w:rPr>
              <w:t xml:space="preserve">Coarse Aggregate</w:t>
            </w:r>
          </w:p>
        </w:tc>
        <w:tc>
          <w:tcPr>
            <w:tcW w:w="1360" w:type="dxa"/>
          </w:tcPr>
          <w:p>
            <w:pPr>
              <w:pStyle w:val="Compact"/>
              <w:keepNext/>
              <w:spacing w:before="0" w:after="0" w:line="276" w:lineRule="auto"/>
              <w:jc w:val="right"/>
            </w:pPr>
            <w:r>
              <w:rPr>
                <w:sz w:val="22"/>
              </w:rPr>
              <w:t xml:space="preserve">−0.0274</w:t>
            </w:r>
          </w:p>
        </w:tc>
        <w:tc>
          <w:tcPr>
            <w:tcW w:w="1600" w:type="dxa"/>
          </w:tcPr>
          <w:p>
            <w:pPr>
              <w:pStyle w:val="Compact"/>
              <w:keepNext/>
              <w:spacing w:before="0" w:after="0" w:line="276" w:lineRule="auto"/>
              <w:jc w:val="right"/>
            </w:pPr>
            <w:r>
              <w:rPr>
                <w:sz w:val="22"/>
              </w:rPr>
              <w:t xml:space="preserve">0.0285</w:t>
            </w:r>
          </w:p>
        </w:tc>
        <w:tc>
          <w:tcPr>
            <w:tcW w:w="2080" w:type="dxa"/>
          </w:tcPr>
          <w:p>
            <w:pPr>
              <w:pStyle w:val="Compact"/>
              <w:keepNext/>
              <w:spacing w:before="0" w:after="0" w:line="276" w:lineRule="auto"/>
              <w:jc w:val="right"/>
            </w:pPr>
            <w:r>
              <w:rPr>
                <w:sz w:val="22"/>
              </w:rPr>
              <w:t xml:space="preserve">−0.0559</w:t>
            </w:r>
          </w:p>
        </w:tc>
        <w:tc>
          <w:tcPr>
            <w:tcW w:w="2173" w:type="dxa"/>
          </w:tcPr>
          <w:p>
            <w:pPr>
              <w:pStyle w:val="Compact"/>
              <w:keepNext/>
              <w:spacing w:before="0" w:after="0" w:line="276" w:lineRule="auto"/>
              <w:jc w:val="left"/>
            </w:pPr>
            <w:r>
              <w:rPr>
                <w:sz w:val="22"/>
              </w:rPr>
              <w:t xml:space="preserve">Blast Furnace Slag (−0.051)</w:t>
            </w:r>
          </w:p>
        </w:tc>
      </w:tr>
      <w:tr>
        <w:trPr>
          <w:cantSplit/>
        </w:trPr>
        <w:tc>
          <w:tcPr>
            <w:tcW w:w="2146" w:type="dxa"/>
          </w:tcPr>
          <w:p>
            <w:pPr>
              <w:pStyle w:val="Compact"/>
              <w:keepNext/>
              <w:spacing w:before="0" w:after="0" w:line="276" w:lineRule="auto"/>
              <w:jc w:val="left"/>
            </w:pPr>
            <w:r>
              <w:rPr>
                <w:sz w:val="22"/>
              </w:rPr>
              <w:t xml:space="preserve">Fine Aggregate</w:t>
            </w:r>
          </w:p>
        </w:tc>
        <w:tc>
          <w:tcPr>
            <w:tcW w:w="1360" w:type="dxa"/>
          </w:tcPr>
          <w:p>
            <w:pPr>
              <w:pStyle w:val="Compact"/>
              <w:keepNext/>
              <w:spacing w:before="0" w:after="0" w:line="276" w:lineRule="auto"/>
              <w:jc w:val="right"/>
            </w:pPr>
            <w:r>
              <w:rPr>
                <w:sz w:val="22"/>
              </w:rPr>
              <w:t xml:space="preserve">−0.0306</w:t>
            </w:r>
          </w:p>
        </w:tc>
        <w:tc>
          <w:tcPr>
            <w:tcW w:w="1600" w:type="dxa"/>
          </w:tcPr>
          <w:p>
            <w:pPr>
              <w:pStyle w:val="Compact"/>
              <w:keepNext/>
              <w:spacing w:before="0" w:after="0" w:line="276" w:lineRule="auto"/>
              <w:jc w:val="right"/>
            </w:pPr>
            <w:r>
              <w:rPr>
                <w:sz w:val="22"/>
              </w:rPr>
              <w:t xml:space="preserve">0.0338</w:t>
            </w:r>
          </w:p>
        </w:tc>
        <w:tc>
          <w:tcPr>
            <w:tcW w:w="2080" w:type="dxa"/>
          </w:tcPr>
          <w:p>
            <w:pPr>
              <w:pStyle w:val="Compact"/>
              <w:keepNext/>
              <w:spacing w:before="0" w:after="0" w:line="276" w:lineRule="auto"/>
              <w:jc w:val="right"/>
            </w:pPr>
            <w:r>
              <w:rPr>
                <w:sz w:val="22"/>
              </w:rPr>
              <w:t xml:space="preserve">−0.0644</w:t>
            </w:r>
          </w:p>
        </w:tc>
        <w:tc>
          <w:tcPr>
            <w:tcW w:w="2173" w:type="dxa"/>
          </w:tcPr>
          <w:p>
            <w:pPr>
              <w:pStyle w:val="Compact"/>
              <w:keepNext/>
              <w:spacing w:before="0" w:after="0" w:line="276" w:lineRule="auto"/>
              <w:jc w:val="left"/>
            </w:pPr>
            <w:r>
              <w:rPr>
                <w:sz w:val="22"/>
              </w:rPr>
              <w:t xml:space="preserve">Cement (−0.039)</w:t>
            </w:r>
          </w:p>
        </w:tc>
      </w:tr>
      <w:tr>
        <w:trPr>
          <w:cantSplit/>
        </w:trPr>
        <w:tc>
          <w:tcPr>
            <w:tcW w:w="2146" w:type="dxa"/>
          </w:tcPr>
          <w:p>
            <w:pPr>
              <w:pStyle w:val="Compact"/>
              <w:spacing w:before="0" w:after="0" w:line="276" w:lineRule="auto"/>
              <w:jc w:val="left"/>
            </w:pPr>
            <w:r>
              <w:rPr>
                <w:sz w:val="22"/>
              </w:rPr>
              <w:t xml:space="preserve">Age</w:t>
            </w:r>
          </w:p>
        </w:tc>
        <w:tc>
          <w:tcPr>
            <w:tcW w:w="1360" w:type="dxa"/>
          </w:tcPr>
          <w:p>
            <w:pPr>
              <w:pStyle w:val="Compact"/>
              <w:spacing w:before="0" w:after="0" w:line="276" w:lineRule="auto"/>
              <w:jc w:val="right"/>
            </w:pPr>
            <w:r>
              <w:rPr>
                <w:sz w:val="22"/>
              </w:rPr>
              <w:t xml:space="preserve">0.0952</w:t>
            </w:r>
          </w:p>
        </w:tc>
        <w:tc>
          <w:tcPr>
            <w:tcW w:w="1600" w:type="dxa"/>
          </w:tcPr>
          <w:p>
            <w:pPr>
              <w:pStyle w:val="Compact"/>
              <w:spacing w:before="0" w:after="0" w:line="276" w:lineRule="auto"/>
              <w:jc w:val="right"/>
            </w:pPr>
            <w:r>
              <w:rPr>
                <w:sz w:val="22"/>
              </w:rPr>
              <w:t xml:space="preserve">0.1188</w:t>
            </w:r>
          </w:p>
        </w:tc>
        <w:tc>
          <w:tcPr>
            <w:tcW w:w="2080" w:type="dxa"/>
          </w:tcPr>
          <w:p>
            <w:pPr>
              <w:pStyle w:val="Compact"/>
              <w:spacing w:before="0" w:after="0" w:line="276" w:lineRule="auto"/>
              <w:jc w:val="right"/>
            </w:pPr>
            <w:r>
              <w:rPr>
                <w:sz w:val="22"/>
              </w:rPr>
              <w:t xml:space="preserve">−0.0236</w:t>
            </w:r>
          </w:p>
        </w:tc>
        <w:tc>
          <w:tcPr>
            <w:tcW w:w="2173" w:type="dxa"/>
          </w:tcPr>
          <w:p>
            <w:pPr>
              <w:pStyle w:val="Compact"/>
              <w:spacing w:before="0" w:after="0" w:line="276" w:lineRule="auto"/>
              <w:jc w:val="left"/>
            </w:pPr>
            <w:r>
              <w:rPr>
                <w:sz w:val="22"/>
              </w:rPr>
              <w:t xml:space="preserve">Cement (+0.023)</w:t>
            </w:r>
          </w:p>
        </w:tc>
      </w:tr>
    </w:tbl>
    <w:p>
      <w:pPr>
        <w:pStyle w:val="CaptionedFigure"/>
        <w:keepNext/>
        <w:spacing w:before="200"/>
      </w:pPr>
      <w:r>
        <w:drawing>
          <wp:inline>
            <wp:extent cx="4389120" cy="3644103"/>
            <wp:effectExtent b="0" l="0" r="0" t="0"/>
            <wp:docPr descr="Figure 4. Pearson correlations among the eight predictors on the training set (lower triangle). These correlations generate the omitted-variable terms in Table 6." title="" id="31" name="Picture"/>
            <a:graphic>
              <a:graphicData uri="http://schemas.openxmlformats.org/drawingml/2006/picture">
                <pic:pic>
                  <pic:nvPicPr>
                    <pic:cNvPr descr="../assets/figures/feature_correlations.png" id="32" name="Picture"/>
                    <pic:cNvPicPr>
                      <a:picLocks noChangeArrowheads="1" noChangeAspect="1"/>
                    </pic:cNvPicPr>
                  </pic:nvPicPr>
                  <pic:blipFill>
                    <a:blip r:embed="rId30"/>
                    <a:stretch>
                      <a:fillRect/>
                    </a:stretch>
                  </pic:blipFill>
                  <pic:spPr bwMode="auto">
                    <a:xfrm>
                      <a:off x="0" y="0"/>
                      <a:ext cx="4389120" cy="3644103"/>
                    </a:xfrm>
                    <a:prstGeom prst="rect">
                      <a:avLst/>
                    </a:prstGeom>
                    <a:noFill/>
                    <a:ln w="9525">
                      <a:noFill/>
                      <a:headEnd/>
                      <a:tailEnd/>
                    </a:ln>
                  </pic:spPr>
                </pic:pic>
              </a:graphicData>
            </a:graphic>
          </wp:inline>
        </w:drawing>
      </w:r>
    </w:p>
    <w:p>
      <w:pPr>
        <w:pStyle w:val="ImageCaption"/>
      </w:pPr>
      <w:r>
        <w:rPr>
          <w:b/>
          <w:bCs/>
        </w:rPr>
        <w:t xml:space="preserve">Figure 4.</w:t>
      </w:r>
      <w:r>
        <w:t xml:space="preserve"> </w:t>
      </w:r>
      <w:r>
        <w:t xml:space="preserve">Pearson correlations among the eight predictors on the training set (lower triangle). These correlations generate the omitted-variable terms in Table 6.</w:t>
      </w:r>
    </w:p>
    <w:bookmarkEnd w:id="33"/>
    <w:bookmarkStart w:id="34" w:name="Xa9e5c5c5be31b916860365bf6c4f13922fcb6e3"/>
    <w:p>
      <w:pPr>
        <w:pStyle w:val="Heading1"/>
      </w:pPr>
      <w:r>
        <w:t xml:space="preserve">Statistical Inference &amp; Regression Analysis</w:t>
      </w:r>
    </w:p>
    <w:p>
      <w:pPr>
        <w:pStyle w:val="FirstParagraph"/>
      </w:pPr>
      <w:r>
        <w:rPr>
          <w:b/>
          <w:bCs/>
        </w:rPr>
        <w:t xml:space="preserve">Approach.</w:t>
      </w:r>
      <w:r>
        <w:t xml:space="preserve"> </w:t>
      </w:r>
      <w:r>
        <w:t xml:space="preserve">For each feature set we fit</w:t>
      </w:r>
      <w:r>
        <w:t xml:space="preserve"> </w:t>
      </w:r>
      <w:r>
        <w:rPr>
          <w:rStyle w:val="VerbatimChar"/>
        </w:rPr>
        <w:t xml:space="preserve">statsmodels.api.OLS</w:t>
      </w:r>
      <w:r>
        <w:t xml:space="preserve"> </w:t>
      </w:r>
      <w:r>
        <w:t xml:space="preserve">with</w:t>
      </w:r>
      <w:r>
        <w:t xml:space="preserve"> </w:t>
      </w:r>
      <w:r>
        <w:rPr>
          <w:rStyle w:val="VerbatimChar"/>
        </w:rPr>
        <w:t xml:space="preserve">add_constant</w:t>
      </w:r>
      <w:r>
        <w:t xml:space="preserve"> </w:t>
      </w:r>
      <w:r>
        <w:t xml:space="preserve">on the 900 training rows and extracted two-sided</w:t>
      </w:r>
      <w:r>
        <w:t xml:space="preserve"> </w:t>
      </w:r>
      <m:oMath>
        <m:r>
          <m:t>t</m:t>
        </m:r>
      </m:oMath>
      <w:r>
        <w:t xml:space="preserve">-test p-values, consolidated in Table 7:</w:t>
      </w:r>
    </w:p>
    <w:p>
      <w:pPr>
        <w:pStyle w:val="BodyText"/>
      </w:pPr>
      <m:oMathPara>
        <m:oMathParaPr>
          <m:jc m:val="center"/>
        </m:oMathParaPr>
        <m:oMath>
          <m:sSub>
            <m:e>
              <m:r>
                <m:t>t</m:t>
              </m:r>
            </m:e>
            <m:sub>
              <m:r>
                <m:t>j</m:t>
              </m:r>
            </m:sub>
          </m:sSub>
          <m:r>
            <m:rPr>
              <m:sty m:val="p"/>
            </m:rPr>
            <m:t>=</m:t>
          </m:r>
          <m:f>
            <m:fPr>
              <m:type m:val="bar"/>
            </m:fPr>
            <m:num>
              <m:sSub>
                <m:e>
                  <m:acc>
                    <m:accPr>
                      <m:chr m:val="̂"/>
                    </m:accPr>
                    <m:e>
                      <m:r>
                        <m:t>β</m:t>
                      </m:r>
                    </m:e>
                  </m:acc>
                </m:e>
                <m:sub>
                  <m:r>
                    <m:t>j</m:t>
                  </m:r>
                </m:sub>
              </m:sSub>
            </m:num>
            <m:den>
              <m:acc>
                <m:accPr>
                  <m:chr m:val="̂"/>
                </m:accPr>
                <m:e>
                  <m:r>
                    <m:rPr>
                      <m:sty m:val="p"/>
                    </m:rPr>
                    <m:t>S</m:t>
                  </m:r>
                  <m:r>
                    <m:rPr>
                      <m:sty m:val="p"/>
                    </m:rPr>
                    <m:t>E</m:t>
                  </m:r>
                </m:e>
              </m:acc>
              <m:r>
                <m:rPr>
                  <m:sty m:val="p"/>
                </m:rPr>
                <m:t>(</m:t>
              </m:r>
              <m:sSub>
                <m:e>
                  <m:acc>
                    <m:accPr>
                      <m:chr m:val="̂"/>
                    </m:accPr>
                    <m:e>
                      <m:r>
                        <m:t>β</m:t>
                      </m:r>
                    </m:e>
                  </m:acc>
                </m:e>
                <m:sub>
                  <m:r>
                    <m:t>j</m:t>
                  </m:r>
                </m:sub>
              </m:sSub>
              <m:r>
                <m:rPr>
                  <m:sty m:val="p"/>
                </m:rPr>
                <m:t>)</m:t>
              </m:r>
            </m:den>
          </m:f>
          <m:r>
            <m:rPr>
              <m:sty m:val="p"/>
            </m:rPr>
            <m:t>,</m:t>
          </m:r>
          <m:r>
            <m:t>  </m:t>
          </m:r>
          <m:acc>
            <m:accPr>
              <m:chr m:val="̂"/>
            </m:accPr>
            <m:e>
              <m:r>
                <m:rPr>
                  <m:sty m:val="p"/>
                </m:rPr>
                <m:t>S</m:t>
              </m:r>
              <m:r>
                <m:rPr>
                  <m:sty m:val="p"/>
                </m:rPr>
                <m:t>E</m:t>
              </m:r>
            </m:e>
          </m:acc>
          <m:r>
            <m:rPr>
              <m:sty m:val="p"/>
            </m:rPr>
            <m:t>(</m:t>
          </m:r>
          <m:sSub>
            <m:e>
              <m:acc>
                <m:accPr>
                  <m:chr m:val="̂"/>
                </m:accPr>
                <m:e>
                  <m:r>
                    <m:t>β</m:t>
                  </m:r>
                </m:e>
              </m:acc>
            </m:e>
            <m:sub>
              <m:r>
                <m:t>j</m:t>
              </m:r>
            </m:sub>
          </m:sSub>
          <m:r>
            <m:rPr>
              <m:sty m:val="p"/>
            </m:rPr>
            <m:t>)</m:t>
          </m:r>
          <m:r>
            <m:rPr>
              <m:sty m:val="p"/>
            </m:rPr>
            <m:t>=</m:t>
          </m:r>
          <m:rad>
            <m:radPr>
              <m:degHide m:val="on"/>
            </m:radPr>
            <m:deg/>
            <m:e>
              <m:sSup>
                <m:e>
                  <m:acc>
                    <m:accPr>
                      <m:chr m:val="̂"/>
                    </m:accPr>
                    <m:e>
                      <m:r>
                        <m:t>σ</m:t>
                      </m:r>
                    </m:e>
                  </m:acc>
                </m:e>
                <m:sup>
                  <m:r>
                    <m:t>2</m:t>
                  </m:r>
                </m:sup>
              </m:sSup>
              <m:r>
                <m:t> </m:t>
              </m:r>
              <m:r>
                <m:rPr>
                  <m:sty m:val="p"/>
                </m:rPr>
                <m:t>[</m:t>
              </m:r>
              <m:r>
                <m:rPr>
                  <m:sty m:val="p"/>
                </m:rPr>
                <m:t>(</m:t>
              </m:r>
              <m:sSup>
                <m:e>
                  <m:r>
                    <m:t>Z</m:t>
                  </m:r>
                </m:e>
                <m:sup>
                  <m:r>
                    <m:rPr>
                      <m:sty m:val="p"/>
                    </m:rPr>
                    <m:t>⊤</m:t>
                  </m:r>
                </m:sup>
              </m:sSup>
              <m:r>
                <m:t>Z</m:t>
              </m:r>
              <m:sSup>
                <m:e>
                  <m:r>
                    <m:rPr>
                      <m:sty m:val="p"/>
                    </m:rPr>
                    <m:t>)</m:t>
                  </m:r>
                </m:e>
                <m:sup>
                  <m:r>
                    <m:rPr>
                      <m:sty m:val="p"/>
                    </m:rPr>
                    <m:t>−</m:t>
                  </m:r>
                  <m:r>
                    <m:t>1</m:t>
                  </m:r>
                </m:sup>
              </m:sSup>
              <m:sSub>
                <m:e>
                  <m:r>
                    <m:rPr>
                      <m:sty m:val="p"/>
                    </m:rPr>
                    <m:t>]</m:t>
                  </m:r>
                </m:e>
                <m:sub>
                  <m:r>
                    <m:t>j</m:t>
                  </m:r>
                  <m:r>
                    <m:t>j</m:t>
                  </m:r>
                </m:sub>
              </m:sSub>
            </m:e>
          </m:rad>
          <m:r>
            <m:rPr>
              <m:sty m:val="p"/>
            </m:rPr>
            <m:t>,</m:t>
          </m:r>
          <m:r>
            <m:t>  </m:t>
          </m:r>
          <m:sSup>
            <m:e>
              <m:acc>
                <m:accPr>
                  <m:chr m:val="̂"/>
                </m:accPr>
                <m:e>
                  <m:r>
                    <m:t>σ</m:t>
                  </m:r>
                </m:e>
              </m:acc>
            </m:e>
            <m:sup>
              <m:r>
                <m:t>2</m:t>
              </m:r>
            </m:sup>
          </m:sSup>
          <m:r>
            <m:rPr>
              <m:sty m:val="p"/>
            </m:rPr>
            <m:t>=</m:t>
          </m:r>
          <m:f>
            <m:fPr>
              <m:type m:val="bar"/>
            </m:fPr>
            <m:num>
              <m:sSup>
                <m:e>
                  <m:d>
                    <m:dPr>
                      <m:begChr m:val="‖"/>
                      <m:sepChr m:val=""/>
                      <m:endChr m:val="‖"/>
                      <m:grow/>
                    </m:dPr>
                    <m:e>
                      <m:r>
                        <m:rPr>
                          <m:sty m:val="b"/>
                        </m:rPr>
                        <m:t>y</m:t>
                      </m:r>
                      <m:r>
                        <m:rPr>
                          <m:sty m:val="p"/>
                        </m:rPr>
                        <m:t>−</m:t>
                      </m:r>
                      <m:r>
                        <m:t>Z</m:t>
                      </m:r>
                      <m:acc>
                        <m:accPr>
                          <m:chr m:val="̂"/>
                        </m:accPr>
                        <m:e>
                          <m:r>
                            <m:rPr>
                              <m:sty m:val="b"/>
                            </m:rPr>
                            <m:t>β</m:t>
                          </m:r>
                        </m:e>
                      </m:acc>
                    </m:e>
                  </m:d>
                </m:e>
                <m:sup>
                  <m:r>
                    <m:t>2</m:t>
                  </m:r>
                </m:sup>
              </m:sSup>
            </m:num>
            <m:den>
              <m:r>
                <m:t>n</m:t>
              </m:r>
              <m:r>
                <m:rPr>
                  <m:sty m:val="p"/>
                </m:rPr>
                <m:t>−</m:t>
              </m:r>
              <m:r>
                <m:t>p</m:t>
              </m:r>
              <m:r>
                <m:rPr>
                  <m:sty m:val="p"/>
                </m:rPr>
                <m:t>−</m:t>
              </m:r>
              <m:r>
                <m:t>1</m:t>
              </m:r>
            </m:den>
          </m:f>
          <m:r>
            <m:rPr>
              <m:sty m:val="p"/>
            </m:rPr>
            <m:t>.</m:t>
          </m:r>
        </m:oMath>
      </m:oMathPara>
    </w:p>
    <w:p>
      <w:pPr>
        <w:pStyle w:val="TableCaption"/>
      </w:pPr>
      <w:r>
        <w:rPr>
          <w:b/>
          <w:bCs/>
        </w:rPr>
        <w:t xml:space="preserve">Table 7.</w:t>
      </w:r>
      <w:r>
        <w:t xml:space="preserve"> </w:t>
      </w:r>
      <w:r>
        <w:t xml:space="preserve">Feature p-values for the three multivariate configurations (two-sided</w:t>
      </w:r>
      <w:r>
        <w:t xml:space="preserve"> </w:t>
      </w:r>
      <m:oMath>
        <m:r>
          <m:t>t</m:t>
        </m:r>
      </m:oMath>
      <w:r>
        <w:t xml:space="preserve">-tests, 891 residual degrees of freedom). n.s. = not significant at</w:t>
      </w:r>
      <w:r>
        <w:t xml:space="preserve"> </w:t>
      </w:r>
      <m:oMath>
        <m:r>
          <m:t>α</m:t>
        </m:r>
        <m:r>
          <m:rPr>
            <m:sty m:val="p"/>
          </m:rPr>
          <m:t>=</m:t>
        </m:r>
        <m:r>
          <m:t>0.05</m:t>
        </m:r>
      </m:oMath>
      <w:r>
        <w:t xml:space="preserve">.</w:t>
      </w:r>
    </w:p>
    <w:tbl>
      <w:tblPr>
        <w:tblStyle w:val="Table"/>
        <w:tblW w:type="dxa" w:w="8624"/>
        <w:jc w:val="center"/>
        <w:tblBorders>
          <w:top w:val="single" w:sz="8" w:space="0" w:color="1F3A5F"/>
          <w:left w:val="nil"/>
          <w:bottom w:val="single" w:sz="8" w:space="0" w:color="1F3A5F"/>
          <w:right w:val="nil"/>
          <w:insideH w:val="single" w:sz="2" w:space="0" w:color="D0D0D0"/>
          <w:insideV w:val="nil"/>
        </w:tblBorders>
        <w:tblLayout w:type="fixed"/>
        <w:tblCellMar>
          <w:top w:w="30" w:type="dxa"/>
          <w:left w:w="80" w:type="dxa"/>
          <w:bottom w:w="30" w:type="dxa"/>
          <w:right w:w="80" w:type="dxa"/>
        </w:tblCellMar>
        <w:tblLook w:firstRow="1" w:lastRow="0" w:firstColumn="0" w:lastColumn="0" w:noHBand="0" w:noVBand="0" w:val="0020"/>
        <w:tblCaption w:val="Table 7. Feature p-values for the three multivariate configurations (two-sided t-tests, 891 residual degrees of freedom). n.s. = not significant at \alpha = 0.05."/>
      </w:tblPr>
      <w:tblGrid>
        <w:gridCol w:w="2552"/>
        <w:gridCol w:w="1958"/>
        <w:gridCol w:w="1958"/>
        <w:gridCol w:w="2156"/>
      </w:tblGrid>
      <w:tr>
        <w:trPr>
          <w:cantSplit/>
          <w:tblHeader w:val="on"/>
        </w:trPr>
        <w:tc>
          <w:tcPr>
            <w:tcW w:w="2552" w:type="dxa"/>
            <w:tcBorders>
              <w:bottom w:val="single" w:sz="6" w:space="0" w:color="1F3A5F"/>
            </w:tcBorders>
            <w:shd w:val="clear" w:color="auto" w:fill="E9EEF5"/>
            <w:vAlign w:val="bottom"/>
          </w:tcPr>
          <w:p>
            <w:pPr>
              <w:pStyle w:val="Compact"/>
              <w:keepNext/>
              <w:spacing w:before="0" w:after="0" w:line="276" w:lineRule="auto"/>
              <w:jc w:val="left"/>
            </w:pPr>
            <w:r>
              <w:rPr>
                <w:b/>
                <w:sz w:val="22"/>
              </w:rPr>
              <w:t xml:space="preserve">Feature</w:t>
            </w:r>
          </w:p>
        </w:tc>
        <w:tc>
          <w:tcPr>
            <w:tcW w:w="1958" w:type="dxa"/>
            <w:tcBorders>
              <w:bottom w:val="single" w:sz="6" w:space="0" w:color="1F3A5F"/>
            </w:tcBorders>
            <w:shd w:val="clear" w:color="auto" w:fill="E9EEF5"/>
            <w:vAlign w:val="bottom"/>
          </w:tcPr>
          <w:p>
            <w:pPr>
              <w:pStyle w:val="Compact"/>
              <w:keepNext/>
              <w:spacing w:before="0" w:after="0" w:line="276" w:lineRule="auto"/>
              <w:jc w:val="right"/>
            </w:pPr>
            <w:r>
              <w:rPr>
                <w:b/>
                <w:sz w:val="22"/>
              </w:rPr>
              <w:t xml:space="preserve">Untransformed</w:t>
            </w:r>
          </w:p>
        </w:tc>
        <w:tc>
          <w:tcPr>
            <w:tcW w:w="1958" w:type="dxa"/>
            <w:tcBorders>
              <w:bottom w:val="single" w:sz="6" w:space="0" w:color="1F3A5F"/>
            </w:tcBorders>
            <w:shd w:val="clear" w:color="auto" w:fill="E9EEF5"/>
            <w:vAlign w:val="bottom"/>
          </w:tcPr>
          <w:p>
            <w:pPr>
              <w:pStyle w:val="Compact"/>
              <w:keepNext/>
              <w:spacing w:before="0" w:after="0" w:line="276" w:lineRule="auto"/>
              <w:jc w:val="right"/>
            </w:pPr>
            <w:r>
              <w:rPr>
                <w:b/>
                <w:sz w:val="22"/>
              </w:rPr>
              <w:t xml:space="preserve">Standardized</w:t>
            </w:r>
          </w:p>
        </w:tc>
        <w:tc>
          <w:tcPr>
            <w:tcW w:w="2156" w:type="dxa"/>
            <w:tcBorders>
              <w:bottom w:val="single" w:sz="6" w:space="0" w:color="1F3A5F"/>
            </w:tcBorders>
            <w:shd w:val="clear" w:color="auto" w:fill="E9EEF5"/>
            <w:vAlign w:val="bottom"/>
          </w:tcPr>
          <w:p>
            <w:pPr>
              <w:pStyle w:val="Compact"/>
              <w:keepNext/>
              <w:spacing w:before="0" w:after="0" w:line="276" w:lineRule="auto"/>
              <w:jc w:val="right"/>
            </w:pPr>
            <w:r>
              <w:rPr>
                <w:b/>
                <w:sz w:val="22"/>
              </w:rPr>
              <w:t xml:space="preserve">Log-transformed</w:t>
            </w:r>
          </w:p>
        </w:tc>
      </w:tr>
      <w:tr>
        <w:trPr>
          <w:cantSplit/>
        </w:trPr>
        <w:tc>
          <w:tcPr>
            <w:tcW w:w="2552" w:type="dxa"/>
          </w:tcPr>
          <w:p>
            <w:pPr>
              <w:pStyle w:val="Compact"/>
              <w:keepNext/>
              <w:spacing w:before="0" w:after="0" w:line="276" w:lineRule="auto"/>
              <w:jc w:val="left"/>
            </w:pPr>
            <w:r>
              <w:rPr>
                <w:sz w:val="22"/>
              </w:rPr>
              <w:t xml:space="preserve">Cement</w:t>
            </w:r>
          </w:p>
        </w:tc>
        <w:tc>
          <w:tcPr>
            <w:tcW w:w="1958" w:type="dxa"/>
          </w:tcPr>
          <w:p>
            <w:pPr>
              <w:pStyle w:val="Compact"/>
              <w:keepNext/>
              <w:spacing w:before="0" w:after="0" w:line="276" w:lineRule="auto"/>
              <w:jc w:val="right"/>
            </w:pPr>
            <m:oMath>
              <m:r>
                <w:rPr>
                  <w:sz w:val="22"/>
                  <w:szCs w:val="22"/>
                </w:rPr>
                <m:t>2.5</m:t>
              </m:r>
              <m:r>
                <m:rPr>
                  <m:sty m:val="p"/>
                </m:rPr>
                <w:rPr>
                  <w:sz w:val="22"/>
                  <w:szCs w:val="22"/>
                </w:rPr>
                <m:t>×</m:t>
              </m:r>
              <m:sSup>
                <m:e>
                  <m:r>
                    <w:rPr>
                      <w:sz w:val="22"/>
                      <w:szCs w:val="22"/>
                    </w:rPr>
                    <m:t>10</m:t>
                  </m:r>
                </m:e>
                <m:sup>
                  <m:r>
                    <m:rPr>
                      <m:sty m:val="p"/>
                    </m:rPr>
                    <w:rPr>
                      <w:sz w:val="22"/>
                      <w:szCs w:val="22"/>
                    </w:rPr>
                    <m:t>−</m:t>
                  </m:r>
                  <m:r>
                    <w:rPr>
                      <w:sz w:val="22"/>
                      <w:szCs w:val="22"/>
                    </w:rPr>
                    <m:t>40</m:t>
                  </m:r>
                </m:sup>
              </m:sSup>
            </m:oMath>
          </w:p>
        </w:tc>
        <w:tc>
          <w:tcPr>
            <w:tcW w:w="1958" w:type="dxa"/>
          </w:tcPr>
          <w:p>
            <w:pPr>
              <w:pStyle w:val="Compact"/>
              <w:keepNext/>
              <w:spacing w:before="0" w:after="0" w:line="276" w:lineRule="auto"/>
              <w:jc w:val="right"/>
            </w:pPr>
            <m:oMath>
              <m:r>
                <w:rPr>
                  <w:sz w:val="22"/>
                  <w:szCs w:val="22"/>
                </w:rPr>
                <m:t>2.5</m:t>
              </m:r>
              <m:r>
                <m:rPr>
                  <m:sty m:val="p"/>
                </m:rPr>
                <w:rPr>
                  <w:sz w:val="22"/>
                  <w:szCs w:val="22"/>
                </w:rPr>
                <m:t>×</m:t>
              </m:r>
              <m:sSup>
                <m:e>
                  <m:r>
                    <w:rPr>
                      <w:sz w:val="22"/>
                      <w:szCs w:val="22"/>
                    </w:rPr>
                    <m:t>10</m:t>
                  </m:r>
                </m:e>
                <m:sup>
                  <m:r>
                    <m:rPr>
                      <m:sty m:val="p"/>
                    </m:rPr>
                    <w:rPr>
                      <w:sz w:val="22"/>
                      <w:szCs w:val="22"/>
                    </w:rPr>
                    <m:t>−</m:t>
                  </m:r>
                  <m:r>
                    <w:rPr>
                      <w:sz w:val="22"/>
                      <w:szCs w:val="22"/>
                    </w:rPr>
                    <m:t>40</m:t>
                  </m:r>
                </m:sup>
              </m:sSup>
            </m:oMath>
          </w:p>
        </w:tc>
        <w:tc>
          <w:tcPr>
            <w:tcW w:w="2156" w:type="dxa"/>
          </w:tcPr>
          <w:p>
            <w:pPr>
              <w:pStyle w:val="Compact"/>
              <w:keepNext/>
              <w:spacing w:before="0" w:after="0" w:line="276" w:lineRule="auto"/>
              <w:jc w:val="right"/>
            </w:pPr>
            <m:oMath>
              <m:r>
                <w:rPr>
                  <w:sz w:val="22"/>
                  <w:szCs w:val="22"/>
                </w:rPr>
                <m:t>1.0</m:t>
              </m:r>
              <m:r>
                <m:rPr>
                  <m:sty m:val="p"/>
                </m:rPr>
                <w:rPr>
                  <w:sz w:val="22"/>
                  <w:szCs w:val="22"/>
                </w:rPr>
                <m:t>×</m:t>
              </m:r>
              <m:sSup>
                <m:e>
                  <m:r>
                    <w:rPr>
                      <w:sz w:val="22"/>
                      <w:szCs w:val="22"/>
                    </w:rPr>
                    <m:t>10</m:t>
                  </m:r>
                </m:e>
                <m:sup>
                  <m:r>
                    <m:rPr>
                      <m:sty m:val="p"/>
                    </m:rPr>
                    <w:rPr>
                      <w:sz w:val="22"/>
                      <w:szCs w:val="22"/>
                    </w:rPr>
                    <m:t>−</m:t>
                  </m:r>
                  <m:r>
                    <w:rPr>
                      <w:sz w:val="22"/>
                      <w:szCs w:val="22"/>
                    </w:rPr>
                    <m:t>85</m:t>
                  </m:r>
                </m:sup>
              </m:sSup>
            </m:oMath>
          </w:p>
        </w:tc>
      </w:tr>
      <w:tr>
        <w:trPr>
          <w:cantSplit/>
        </w:trPr>
        <w:tc>
          <w:tcPr>
            <w:tcW w:w="2552" w:type="dxa"/>
          </w:tcPr>
          <w:p>
            <w:pPr>
              <w:pStyle w:val="Compact"/>
              <w:keepNext/>
              <w:spacing w:before="0" w:after="0" w:line="276" w:lineRule="auto"/>
              <w:jc w:val="left"/>
            </w:pPr>
            <w:r>
              <w:rPr>
                <w:sz w:val="22"/>
              </w:rPr>
              <w:t xml:space="preserve">Blast Furnace Slag</w:t>
            </w:r>
          </w:p>
        </w:tc>
        <w:tc>
          <w:tcPr>
            <w:tcW w:w="1958" w:type="dxa"/>
          </w:tcPr>
          <w:p>
            <w:pPr>
              <w:pStyle w:val="Compact"/>
              <w:keepNext/>
              <w:spacing w:before="0" w:after="0" w:line="276" w:lineRule="auto"/>
              <w:jc w:val="right"/>
            </w:pPr>
            <m:oMath>
              <m:r>
                <w:rPr>
                  <w:sz w:val="22"/>
                  <w:szCs w:val="22"/>
                </w:rPr>
                <m:t>6.4</m:t>
              </m:r>
              <m:r>
                <m:rPr>
                  <m:sty m:val="p"/>
                </m:rPr>
                <w:rPr>
                  <w:sz w:val="22"/>
                  <w:szCs w:val="22"/>
                </w:rPr>
                <m:t>×</m:t>
              </m:r>
              <m:sSup>
                <m:e>
                  <m:r>
                    <w:rPr>
                      <w:sz w:val="22"/>
                      <w:szCs w:val="22"/>
                    </w:rPr>
                    <m:t>10</m:t>
                  </m:r>
                </m:e>
                <m:sup>
                  <m:r>
                    <m:rPr>
                      <m:sty m:val="p"/>
                    </m:rPr>
                    <w:rPr>
                      <w:sz w:val="22"/>
                      <w:szCs w:val="22"/>
                    </w:rPr>
                    <m:t>−</m:t>
                  </m:r>
                  <m:r>
                    <w:rPr>
                      <w:sz w:val="22"/>
                      <w:szCs w:val="22"/>
                    </w:rPr>
                    <m:t>26</m:t>
                  </m:r>
                </m:sup>
              </m:sSup>
            </m:oMath>
          </w:p>
        </w:tc>
        <w:tc>
          <w:tcPr>
            <w:tcW w:w="1958" w:type="dxa"/>
          </w:tcPr>
          <w:p>
            <w:pPr>
              <w:pStyle w:val="Compact"/>
              <w:keepNext/>
              <w:spacing w:before="0" w:after="0" w:line="276" w:lineRule="auto"/>
              <w:jc w:val="right"/>
            </w:pPr>
            <m:oMath>
              <m:r>
                <w:rPr>
                  <w:sz w:val="22"/>
                  <w:szCs w:val="22"/>
                </w:rPr>
                <m:t>6.4</m:t>
              </m:r>
              <m:r>
                <m:rPr>
                  <m:sty m:val="p"/>
                </m:rPr>
                <w:rPr>
                  <w:sz w:val="22"/>
                  <w:szCs w:val="22"/>
                </w:rPr>
                <m:t>×</m:t>
              </m:r>
              <m:sSup>
                <m:e>
                  <m:r>
                    <w:rPr>
                      <w:sz w:val="22"/>
                      <w:szCs w:val="22"/>
                    </w:rPr>
                    <m:t>10</m:t>
                  </m:r>
                </m:e>
                <m:sup>
                  <m:r>
                    <m:rPr>
                      <m:sty m:val="p"/>
                    </m:rPr>
                    <w:rPr>
                      <w:sz w:val="22"/>
                      <w:szCs w:val="22"/>
                    </w:rPr>
                    <m:t>−</m:t>
                  </m:r>
                  <m:r>
                    <w:rPr>
                      <w:sz w:val="22"/>
                      <w:szCs w:val="22"/>
                    </w:rPr>
                    <m:t>26</m:t>
                  </m:r>
                </m:sup>
              </m:sSup>
            </m:oMath>
          </w:p>
        </w:tc>
        <w:tc>
          <w:tcPr>
            <w:tcW w:w="2156" w:type="dxa"/>
          </w:tcPr>
          <w:p>
            <w:pPr>
              <w:pStyle w:val="Compact"/>
              <w:keepNext/>
              <w:spacing w:before="0" w:after="0" w:line="276" w:lineRule="auto"/>
              <w:jc w:val="right"/>
            </w:pPr>
            <m:oMath>
              <m:r>
                <w:rPr>
                  <w:sz w:val="22"/>
                  <w:szCs w:val="22"/>
                </w:rPr>
                <m:t>7.0</m:t>
              </m:r>
              <m:r>
                <m:rPr>
                  <m:sty m:val="p"/>
                </m:rPr>
                <w:rPr>
                  <w:sz w:val="22"/>
                  <w:szCs w:val="22"/>
                </w:rPr>
                <m:t>×</m:t>
              </m:r>
              <m:sSup>
                <m:e>
                  <m:r>
                    <w:rPr>
                      <w:sz w:val="22"/>
                      <w:szCs w:val="22"/>
                    </w:rPr>
                    <m:t>10</m:t>
                  </m:r>
                </m:e>
                <m:sup>
                  <m:r>
                    <m:rPr>
                      <m:sty m:val="p"/>
                    </m:rPr>
                    <w:rPr>
                      <w:sz w:val="22"/>
                      <w:szCs w:val="22"/>
                    </w:rPr>
                    <m:t>−</m:t>
                  </m:r>
                  <m:r>
                    <w:rPr>
                      <w:sz w:val="22"/>
                      <w:szCs w:val="22"/>
                    </w:rPr>
                    <m:t>36</m:t>
                  </m:r>
                </m:sup>
              </m:sSup>
            </m:oMath>
          </w:p>
        </w:tc>
      </w:tr>
      <w:tr>
        <w:trPr>
          <w:cantSplit/>
        </w:trPr>
        <w:tc>
          <w:tcPr>
            <w:tcW w:w="2552" w:type="dxa"/>
          </w:tcPr>
          <w:p>
            <w:pPr>
              <w:pStyle w:val="Compact"/>
              <w:keepNext/>
              <w:spacing w:before="0" w:after="0" w:line="276" w:lineRule="auto"/>
              <w:jc w:val="left"/>
            </w:pPr>
            <w:r>
              <w:rPr>
                <w:sz w:val="22"/>
              </w:rPr>
              <w:t xml:space="preserve">Fly Ash</w:t>
            </w:r>
          </w:p>
        </w:tc>
        <w:tc>
          <w:tcPr>
            <w:tcW w:w="1958" w:type="dxa"/>
          </w:tcPr>
          <w:p>
            <w:pPr>
              <w:pStyle w:val="Compact"/>
              <w:keepNext/>
              <w:spacing w:before="0" w:after="0" w:line="276" w:lineRule="auto"/>
              <w:jc w:val="right"/>
            </w:pPr>
            <m:oMath>
              <m:r>
                <w:rPr>
                  <w:sz w:val="22"/>
                  <w:szCs w:val="22"/>
                </w:rPr>
                <m:t>3.3</m:t>
              </m:r>
              <m:r>
                <m:rPr>
                  <m:sty m:val="p"/>
                </m:rPr>
                <w:rPr>
                  <w:sz w:val="22"/>
                  <w:szCs w:val="22"/>
                </w:rPr>
                <m:t>×</m:t>
              </m:r>
              <m:sSup>
                <m:e>
                  <m:r>
                    <w:rPr>
                      <w:sz w:val="22"/>
                      <w:szCs w:val="22"/>
                    </w:rPr>
                    <m:t>10</m:t>
                  </m:r>
                </m:e>
                <m:sup>
                  <m:r>
                    <m:rPr>
                      <m:sty m:val="p"/>
                    </m:rPr>
                    <w:rPr>
                      <w:sz w:val="22"/>
                      <w:szCs w:val="22"/>
                    </w:rPr>
                    <m:t>−</m:t>
                  </m:r>
                  <m:r>
                    <w:rPr>
                      <w:sz w:val="22"/>
                      <w:szCs w:val="22"/>
                    </w:rPr>
                    <m:t>13</m:t>
                  </m:r>
                </m:sup>
              </m:sSup>
            </m:oMath>
          </w:p>
        </w:tc>
        <w:tc>
          <w:tcPr>
            <w:tcW w:w="1958" w:type="dxa"/>
          </w:tcPr>
          <w:p>
            <w:pPr>
              <w:pStyle w:val="Compact"/>
              <w:keepNext/>
              <w:spacing w:before="0" w:after="0" w:line="276" w:lineRule="auto"/>
              <w:jc w:val="right"/>
            </w:pPr>
            <m:oMath>
              <m:r>
                <w:rPr>
                  <w:sz w:val="22"/>
                  <w:szCs w:val="22"/>
                </w:rPr>
                <m:t>3.3</m:t>
              </m:r>
              <m:r>
                <m:rPr>
                  <m:sty m:val="p"/>
                </m:rPr>
                <w:rPr>
                  <w:sz w:val="22"/>
                  <w:szCs w:val="22"/>
                </w:rPr>
                <m:t>×</m:t>
              </m:r>
              <m:sSup>
                <m:e>
                  <m:r>
                    <w:rPr>
                      <w:sz w:val="22"/>
                      <w:szCs w:val="22"/>
                    </w:rPr>
                    <m:t>10</m:t>
                  </m:r>
                </m:e>
                <m:sup>
                  <m:r>
                    <m:rPr>
                      <m:sty m:val="p"/>
                    </m:rPr>
                    <w:rPr>
                      <w:sz w:val="22"/>
                      <w:szCs w:val="22"/>
                    </w:rPr>
                    <m:t>−</m:t>
                  </m:r>
                  <m:r>
                    <w:rPr>
                      <w:sz w:val="22"/>
                      <w:szCs w:val="22"/>
                    </w:rPr>
                    <m:t>13</m:t>
                  </m:r>
                </m:sup>
              </m:sSup>
            </m:oMath>
          </w:p>
        </w:tc>
        <w:tc>
          <w:tcPr>
            <w:tcW w:w="2156" w:type="dxa"/>
          </w:tcPr>
          <w:p>
            <w:pPr>
              <w:pStyle w:val="Compact"/>
              <w:keepNext/>
              <w:spacing w:before="0" w:after="0" w:line="276" w:lineRule="auto"/>
              <w:jc w:val="right"/>
            </w:pPr>
            <w:r>
              <w:rPr>
                <w:sz w:val="22"/>
              </w:rPr>
              <w:t xml:space="preserve">0.292 (n.s.)</w:t>
            </w:r>
          </w:p>
        </w:tc>
      </w:tr>
      <w:tr>
        <w:trPr>
          <w:cantSplit/>
        </w:trPr>
        <w:tc>
          <w:tcPr>
            <w:tcW w:w="2552" w:type="dxa"/>
          </w:tcPr>
          <w:p>
            <w:pPr>
              <w:pStyle w:val="Compact"/>
              <w:keepNext/>
              <w:spacing w:before="0" w:after="0" w:line="276" w:lineRule="auto"/>
              <w:jc w:val="left"/>
            </w:pPr>
            <w:r>
              <w:rPr>
                <w:sz w:val="22"/>
              </w:rPr>
              <w:t xml:space="preserve">Water</w:t>
            </w:r>
          </w:p>
        </w:tc>
        <w:tc>
          <w:tcPr>
            <w:tcW w:w="1958" w:type="dxa"/>
          </w:tcPr>
          <w:p>
            <w:pPr>
              <w:pStyle w:val="Compact"/>
              <w:keepNext/>
              <w:spacing w:before="0" w:after="0" w:line="276" w:lineRule="auto"/>
              <w:jc w:val="right"/>
            </w:pPr>
            <m:oMath>
              <m:r>
                <w:rPr>
                  <w:sz w:val="22"/>
                  <w:szCs w:val="22"/>
                </w:rPr>
                <m:t>1.8</m:t>
              </m:r>
              <m:r>
                <m:rPr>
                  <m:sty m:val="p"/>
                </m:rPr>
                <w:rPr>
                  <w:sz w:val="22"/>
                  <w:szCs w:val="22"/>
                </w:rPr>
                <m:t>×</m:t>
              </m:r>
              <m:sSup>
                <m:e>
                  <m:r>
                    <w:rPr>
                      <w:sz w:val="22"/>
                      <w:szCs w:val="22"/>
                    </w:rPr>
                    <m:t>10</m:t>
                  </m:r>
                </m:e>
                <m:sup>
                  <m:r>
                    <m:rPr>
                      <m:sty m:val="p"/>
                    </m:rPr>
                    <w:rPr>
                      <w:sz w:val="22"/>
                      <w:szCs w:val="22"/>
                    </w:rPr>
                    <m:t>−</m:t>
                  </m:r>
                  <m:r>
                    <w:rPr>
                      <w:sz w:val="22"/>
                      <w:szCs w:val="22"/>
                    </w:rPr>
                    <m:t>3</m:t>
                  </m:r>
                </m:sup>
              </m:sSup>
            </m:oMath>
          </w:p>
        </w:tc>
        <w:tc>
          <w:tcPr>
            <w:tcW w:w="1958" w:type="dxa"/>
          </w:tcPr>
          <w:p>
            <w:pPr>
              <w:pStyle w:val="Compact"/>
              <w:keepNext/>
              <w:spacing w:before="0" w:after="0" w:line="276" w:lineRule="auto"/>
              <w:jc w:val="right"/>
            </w:pPr>
            <m:oMath>
              <m:r>
                <w:rPr>
                  <w:sz w:val="22"/>
                  <w:szCs w:val="22"/>
                </w:rPr>
                <m:t>1.8</m:t>
              </m:r>
              <m:r>
                <m:rPr>
                  <m:sty m:val="p"/>
                </m:rPr>
                <w:rPr>
                  <w:sz w:val="22"/>
                  <w:szCs w:val="22"/>
                </w:rPr>
                <m:t>×</m:t>
              </m:r>
              <m:sSup>
                <m:e>
                  <m:r>
                    <w:rPr>
                      <w:sz w:val="22"/>
                      <w:szCs w:val="22"/>
                    </w:rPr>
                    <m:t>10</m:t>
                  </m:r>
                </m:e>
                <m:sup>
                  <m:r>
                    <m:rPr>
                      <m:sty m:val="p"/>
                    </m:rPr>
                    <w:rPr>
                      <w:sz w:val="22"/>
                      <w:szCs w:val="22"/>
                    </w:rPr>
                    <m:t>−</m:t>
                  </m:r>
                  <m:r>
                    <w:rPr>
                      <w:sz w:val="22"/>
                      <w:szCs w:val="22"/>
                    </w:rPr>
                    <m:t>3</m:t>
                  </m:r>
                </m:sup>
              </m:sSup>
            </m:oMath>
          </w:p>
        </w:tc>
        <w:tc>
          <w:tcPr>
            <w:tcW w:w="2156" w:type="dxa"/>
          </w:tcPr>
          <w:p>
            <w:pPr>
              <w:pStyle w:val="Compact"/>
              <w:keepNext/>
              <w:spacing w:before="0" w:after="0" w:line="276" w:lineRule="auto"/>
              <w:jc w:val="right"/>
            </w:pPr>
            <m:oMath>
              <m:r>
                <w:rPr>
                  <w:sz w:val="22"/>
                  <w:szCs w:val="22"/>
                </w:rPr>
                <m:t>1.7</m:t>
              </m:r>
              <m:r>
                <m:rPr>
                  <m:sty m:val="p"/>
                </m:rPr>
                <w:rPr>
                  <w:sz w:val="22"/>
                  <w:szCs w:val="22"/>
                </w:rPr>
                <m:t>×</m:t>
              </m:r>
              <m:sSup>
                <m:e>
                  <m:r>
                    <w:rPr>
                      <w:sz w:val="22"/>
                      <w:szCs w:val="22"/>
                    </w:rPr>
                    <m:t>10</m:t>
                  </m:r>
                </m:e>
                <m:sup>
                  <m:r>
                    <m:rPr>
                      <m:sty m:val="p"/>
                    </m:rPr>
                    <w:rPr>
                      <w:sz w:val="22"/>
                      <w:szCs w:val="22"/>
                    </w:rPr>
                    <m:t>−</m:t>
                  </m:r>
                  <m:r>
                    <w:rPr>
                      <w:sz w:val="22"/>
                      <w:szCs w:val="22"/>
                    </w:rPr>
                    <m:t>20</m:t>
                  </m:r>
                </m:sup>
              </m:sSup>
            </m:oMath>
          </w:p>
        </w:tc>
      </w:tr>
      <w:tr>
        <w:trPr>
          <w:cantSplit/>
        </w:trPr>
        <w:tc>
          <w:tcPr>
            <w:tcW w:w="2552" w:type="dxa"/>
          </w:tcPr>
          <w:p>
            <w:pPr>
              <w:pStyle w:val="Compact"/>
              <w:keepNext/>
              <w:spacing w:before="0" w:after="0" w:line="276" w:lineRule="auto"/>
              <w:jc w:val="left"/>
            </w:pPr>
            <w:r>
              <w:rPr>
                <w:sz w:val="22"/>
              </w:rPr>
              <w:t xml:space="preserve">Superplasticizer</w:t>
            </w:r>
          </w:p>
        </w:tc>
        <w:tc>
          <w:tcPr>
            <w:tcW w:w="1958" w:type="dxa"/>
          </w:tcPr>
          <w:p>
            <w:pPr>
              <w:pStyle w:val="Compact"/>
              <w:keepNext/>
              <w:spacing w:before="0" w:after="0" w:line="276" w:lineRule="auto"/>
              <w:jc w:val="right"/>
            </w:pPr>
            <w:r>
              <w:rPr>
                <w:sz w:val="22"/>
              </w:rPr>
              <w:t xml:space="preserve">0.243 (n.s.)</w:t>
            </w:r>
          </w:p>
        </w:tc>
        <w:tc>
          <w:tcPr>
            <w:tcW w:w="1958" w:type="dxa"/>
          </w:tcPr>
          <w:p>
            <w:pPr>
              <w:pStyle w:val="Compact"/>
              <w:keepNext/>
              <w:spacing w:before="0" w:after="0" w:line="276" w:lineRule="auto"/>
              <w:jc w:val="right"/>
            </w:pPr>
            <w:r>
              <w:rPr>
                <w:sz w:val="22"/>
              </w:rPr>
              <w:t xml:space="preserve">0.243 (n.s.)</w:t>
            </w:r>
          </w:p>
        </w:tc>
        <w:tc>
          <w:tcPr>
            <w:tcW w:w="2156" w:type="dxa"/>
          </w:tcPr>
          <w:p>
            <w:pPr>
              <w:pStyle w:val="Compact"/>
              <w:keepNext/>
              <w:spacing w:before="0" w:after="0" w:line="276" w:lineRule="auto"/>
              <w:jc w:val="right"/>
            </w:pPr>
            <m:oMath>
              <m:r>
                <w:rPr>
                  <w:sz w:val="22"/>
                  <w:szCs w:val="22"/>
                </w:rPr>
                <m:t>8.4</m:t>
              </m:r>
              <m:r>
                <m:rPr>
                  <m:sty m:val="p"/>
                </m:rPr>
                <w:rPr>
                  <w:sz w:val="22"/>
                  <w:szCs w:val="22"/>
                </w:rPr>
                <m:t>×</m:t>
              </m:r>
              <m:sSup>
                <m:e>
                  <m:r>
                    <w:rPr>
                      <w:sz w:val="22"/>
                      <w:szCs w:val="22"/>
                    </w:rPr>
                    <m:t>10</m:t>
                  </m:r>
                </m:e>
                <m:sup>
                  <m:r>
                    <m:rPr>
                      <m:sty m:val="p"/>
                    </m:rPr>
                    <w:rPr>
                      <w:sz w:val="22"/>
                      <w:szCs w:val="22"/>
                    </w:rPr>
                    <m:t>−</m:t>
                  </m:r>
                  <m:r>
                    <w:rPr>
                      <w:sz w:val="22"/>
                      <w:szCs w:val="22"/>
                    </w:rPr>
                    <m:t>6</m:t>
                  </m:r>
                </m:sup>
              </m:sSup>
            </m:oMath>
          </w:p>
        </w:tc>
      </w:tr>
      <w:tr>
        <w:trPr>
          <w:cantSplit/>
        </w:trPr>
        <w:tc>
          <w:tcPr>
            <w:tcW w:w="2552" w:type="dxa"/>
          </w:tcPr>
          <w:p>
            <w:pPr>
              <w:pStyle w:val="Compact"/>
              <w:keepNext/>
              <w:spacing w:before="0" w:after="0" w:line="276" w:lineRule="auto"/>
              <w:jc w:val="left"/>
            </w:pPr>
            <w:r>
              <w:rPr>
                <w:sz w:val="22"/>
              </w:rPr>
              <w:t xml:space="preserve">Coarse Aggregate</w:t>
            </w:r>
          </w:p>
        </w:tc>
        <w:tc>
          <w:tcPr>
            <w:tcW w:w="1958" w:type="dxa"/>
          </w:tcPr>
          <w:p>
            <w:pPr>
              <w:pStyle w:val="Compact"/>
              <w:keepNext/>
              <w:spacing w:before="0" w:after="0" w:line="276" w:lineRule="auto"/>
              <w:jc w:val="right"/>
            </w:pPr>
            <m:oMath>
              <m:r>
                <w:rPr>
                  <w:sz w:val="22"/>
                  <w:szCs w:val="22"/>
                </w:rPr>
                <m:t>5.6</m:t>
              </m:r>
              <m:r>
                <m:rPr>
                  <m:sty m:val="p"/>
                </m:rPr>
                <w:rPr>
                  <w:sz w:val="22"/>
                  <w:szCs w:val="22"/>
                </w:rPr>
                <m:t>×</m:t>
              </m:r>
              <m:sSup>
                <m:e>
                  <m:r>
                    <w:rPr>
                      <w:sz w:val="22"/>
                      <w:szCs w:val="22"/>
                    </w:rPr>
                    <m:t>10</m:t>
                  </m:r>
                </m:e>
                <m:sup>
                  <m:r>
                    <m:rPr>
                      <m:sty m:val="p"/>
                    </m:rPr>
                    <w:rPr>
                      <w:sz w:val="22"/>
                      <w:szCs w:val="22"/>
                    </w:rPr>
                    <m:t>−</m:t>
                  </m:r>
                  <m:r>
                    <w:rPr>
                      <w:sz w:val="22"/>
                      <w:szCs w:val="22"/>
                    </w:rPr>
                    <m:t>3</m:t>
                  </m:r>
                </m:sup>
              </m:sSup>
            </m:oMath>
          </w:p>
        </w:tc>
        <w:tc>
          <w:tcPr>
            <w:tcW w:w="1958" w:type="dxa"/>
          </w:tcPr>
          <w:p>
            <w:pPr>
              <w:pStyle w:val="Compact"/>
              <w:keepNext/>
              <w:spacing w:before="0" w:after="0" w:line="276" w:lineRule="auto"/>
              <w:jc w:val="right"/>
            </w:pPr>
            <m:oMath>
              <m:r>
                <w:rPr>
                  <w:sz w:val="22"/>
                  <w:szCs w:val="22"/>
                </w:rPr>
                <m:t>5.6</m:t>
              </m:r>
              <m:r>
                <m:rPr>
                  <m:sty m:val="p"/>
                </m:rPr>
                <w:rPr>
                  <w:sz w:val="22"/>
                  <w:szCs w:val="22"/>
                </w:rPr>
                <m:t>×</m:t>
              </m:r>
              <m:sSup>
                <m:e>
                  <m:r>
                    <w:rPr>
                      <w:sz w:val="22"/>
                      <w:szCs w:val="22"/>
                    </w:rPr>
                    <m:t>10</m:t>
                  </m:r>
                </m:e>
                <m:sup>
                  <m:r>
                    <m:rPr>
                      <m:sty m:val="p"/>
                    </m:rPr>
                    <w:rPr>
                      <w:sz w:val="22"/>
                      <w:szCs w:val="22"/>
                    </w:rPr>
                    <m:t>−</m:t>
                  </m:r>
                  <m:r>
                    <w:rPr>
                      <w:sz w:val="22"/>
                      <w:szCs w:val="22"/>
                    </w:rPr>
                    <m:t>3</m:t>
                  </m:r>
                </m:sup>
              </m:sSup>
            </m:oMath>
          </w:p>
        </w:tc>
        <w:tc>
          <w:tcPr>
            <w:tcW w:w="2156" w:type="dxa"/>
          </w:tcPr>
          <w:p>
            <w:pPr>
              <w:pStyle w:val="Compact"/>
              <w:keepNext/>
              <w:spacing w:before="0" w:after="0" w:line="276" w:lineRule="auto"/>
              <w:jc w:val="right"/>
            </w:pPr>
            <w:r>
              <w:rPr>
                <w:sz w:val="22"/>
              </w:rPr>
              <w:t xml:space="preserve">0.405 (n.s.)</w:t>
            </w:r>
          </w:p>
        </w:tc>
      </w:tr>
      <w:tr>
        <w:trPr>
          <w:cantSplit/>
        </w:trPr>
        <w:tc>
          <w:tcPr>
            <w:tcW w:w="2552" w:type="dxa"/>
          </w:tcPr>
          <w:p>
            <w:pPr>
              <w:pStyle w:val="Compact"/>
              <w:keepNext/>
              <w:spacing w:before="0" w:after="0" w:line="276" w:lineRule="auto"/>
              <w:jc w:val="left"/>
            </w:pPr>
            <w:r>
              <w:rPr>
                <w:sz w:val="22"/>
              </w:rPr>
              <w:t xml:space="preserve">Fine Aggregate</w:t>
            </w:r>
          </w:p>
        </w:tc>
        <w:tc>
          <w:tcPr>
            <w:tcW w:w="1958" w:type="dxa"/>
          </w:tcPr>
          <w:p>
            <w:pPr>
              <w:pStyle w:val="Compact"/>
              <w:keepNext/>
              <w:spacing w:before="0" w:after="0" w:line="276" w:lineRule="auto"/>
              <w:jc w:val="right"/>
            </w:pPr>
            <m:oMath>
              <m:r>
                <w:rPr>
                  <w:sz w:val="22"/>
                  <w:szCs w:val="22"/>
                </w:rPr>
                <m:t>3.0</m:t>
              </m:r>
              <m:r>
                <m:rPr>
                  <m:sty m:val="p"/>
                </m:rPr>
                <w:rPr>
                  <w:sz w:val="22"/>
                  <w:szCs w:val="22"/>
                </w:rPr>
                <m:t>×</m:t>
              </m:r>
              <m:sSup>
                <m:e>
                  <m:r>
                    <w:rPr>
                      <w:sz w:val="22"/>
                      <w:szCs w:val="22"/>
                    </w:rPr>
                    <m:t>10</m:t>
                  </m:r>
                </m:e>
                <m:sup>
                  <m:r>
                    <m:rPr>
                      <m:sty m:val="p"/>
                    </m:rPr>
                    <w:rPr>
                      <w:sz w:val="22"/>
                      <w:szCs w:val="22"/>
                    </w:rPr>
                    <m:t>−</m:t>
                  </m:r>
                  <m:r>
                    <w:rPr>
                      <w:sz w:val="22"/>
                      <w:szCs w:val="22"/>
                    </w:rPr>
                    <m:t>3</m:t>
                  </m:r>
                </m:sup>
              </m:sSup>
            </m:oMath>
          </w:p>
        </w:tc>
        <w:tc>
          <w:tcPr>
            <w:tcW w:w="1958" w:type="dxa"/>
          </w:tcPr>
          <w:p>
            <w:pPr>
              <w:pStyle w:val="Compact"/>
              <w:keepNext/>
              <w:spacing w:before="0" w:after="0" w:line="276" w:lineRule="auto"/>
              <w:jc w:val="right"/>
            </w:pPr>
            <m:oMath>
              <m:r>
                <w:rPr>
                  <w:sz w:val="22"/>
                  <w:szCs w:val="22"/>
                </w:rPr>
                <m:t>3.0</m:t>
              </m:r>
              <m:r>
                <m:rPr>
                  <m:sty m:val="p"/>
                </m:rPr>
                <w:rPr>
                  <w:sz w:val="22"/>
                  <w:szCs w:val="22"/>
                </w:rPr>
                <m:t>×</m:t>
              </m:r>
              <m:sSup>
                <m:e>
                  <m:r>
                    <w:rPr>
                      <w:sz w:val="22"/>
                      <w:szCs w:val="22"/>
                    </w:rPr>
                    <m:t>10</m:t>
                  </m:r>
                </m:e>
                <m:sup>
                  <m:r>
                    <m:rPr>
                      <m:sty m:val="p"/>
                    </m:rPr>
                    <w:rPr>
                      <w:sz w:val="22"/>
                      <w:szCs w:val="22"/>
                    </w:rPr>
                    <m:t>−</m:t>
                  </m:r>
                  <m:r>
                    <w:rPr>
                      <w:sz w:val="22"/>
                      <w:szCs w:val="22"/>
                    </w:rPr>
                    <m:t>3</m:t>
                  </m:r>
                </m:sup>
              </m:sSup>
            </m:oMath>
          </w:p>
        </w:tc>
        <w:tc>
          <w:tcPr>
            <w:tcW w:w="2156" w:type="dxa"/>
          </w:tcPr>
          <w:p>
            <w:pPr>
              <w:pStyle w:val="Compact"/>
              <w:keepNext/>
              <w:spacing w:before="0" w:after="0" w:line="276" w:lineRule="auto"/>
              <w:jc w:val="right"/>
            </w:pPr>
            <w:r>
              <w:rPr>
                <w:sz w:val="22"/>
              </w:rPr>
              <w:t xml:space="preserve">0.089 (n.s.)</w:t>
            </w:r>
          </w:p>
        </w:tc>
      </w:tr>
      <w:tr>
        <w:trPr>
          <w:cantSplit/>
        </w:trPr>
        <w:tc>
          <w:tcPr>
            <w:tcW w:w="2552" w:type="dxa"/>
          </w:tcPr>
          <w:p>
            <w:pPr>
              <w:pStyle w:val="Compact"/>
              <w:spacing w:before="0" w:after="0" w:line="276" w:lineRule="auto"/>
              <w:jc w:val="left"/>
            </w:pPr>
            <w:r>
              <w:rPr>
                <w:sz w:val="22"/>
              </w:rPr>
              <w:t xml:space="preserve">Age</w:t>
            </w:r>
          </w:p>
        </w:tc>
        <w:tc>
          <w:tcPr>
            <w:tcW w:w="1958" w:type="dxa"/>
          </w:tcPr>
          <w:p>
            <w:pPr>
              <w:pStyle w:val="Compact"/>
              <w:spacing w:before="0" w:after="0" w:line="276" w:lineRule="auto"/>
              <w:jc w:val="right"/>
            </w:pPr>
            <m:oMath>
              <m:r>
                <w:rPr>
                  <w:sz w:val="22"/>
                  <w:szCs w:val="22"/>
                </w:rPr>
                <m:t>8.6</m:t>
              </m:r>
              <m:r>
                <m:rPr>
                  <m:sty m:val="p"/>
                </m:rPr>
                <w:rPr>
                  <w:sz w:val="22"/>
                  <w:szCs w:val="22"/>
                </w:rPr>
                <m:t>×</m:t>
              </m:r>
              <m:sSup>
                <m:e>
                  <m:r>
                    <w:rPr>
                      <w:sz w:val="22"/>
                      <w:szCs w:val="22"/>
                    </w:rPr>
                    <m:t>10</m:t>
                  </m:r>
                </m:e>
                <m:sup>
                  <m:r>
                    <m:rPr>
                      <m:sty m:val="p"/>
                    </m:rPr>
                    <w:rPr>
                      <w:sz w:val="22"/>
                      <w:szCs w:val="22"/>
                    </w:rPr>
                    <m:t>−</m:t>
                  </m:r>
                  <m:r>
                    <w:rPr>
                      <w:sz w:val="22"/>
                      <w:szCs w:val="22"/>
                    </w:rPr>
                    <m:t>74</m:t>
                  </m:r>
                </m:sup>
              </m:sSup>
            </m:oMath>
          </w:p>
        </w:tc>
        <w:tc>
          <w:tcPr>
            <w:tcW w:w="1958" w:type="dxa"/>
          </w:tcPr>
          <w:p>
            <w:pPr>
              <w:pStyle w:val="Compact"/>
              <w:spacing w:before="0" w:after="0" w:line="276" w:lineRule="auto"/>
              <w:jc w:val="right"/>
            </w:pPr>
            <m:oMath>
              <m:r>
                <w:rPr>
                  <w:sz w:val="22"/>
                  <w:szCs w:val="22"/>
                </w:rPr>
                <m:t>8.6</m:t>
              </m:r>
              <m:r>
                <m:rPr>
                  <m:sty m:val="p"/>
                </m:rPr>
                <w:rPr>
                  <w:sz w:val="22"/>
                  <w:szCs w:val="22"/>
                </w:rPr>
                <m:t>×</m:t>
              </m:r>
              <m:sSup>
                <m:e>
                  <m:r>
                    <w:rPr>
                      <w:sz w:val="22"/>
                      <w:szCs w:val="22"/>
                    </w:rPr>
                    <m:t>10</m:t>
                  </m:r>
                </m:e>
                <m:sup>
                  <m:r>
                    <m:rPr>
                      <m:sty m:val="p"/>
                    </m:rPr>
                    <w:rPr>
                      <w:sz w:val="22"/>
                      <w:szCs w:val="22"/>
                    </w:rPr>
                    <m:t>−</m:t>
                  </m:r>
                  <m:r>
                    <w:rPr>
                      <w:sz w:val="22"/>
                      <w:szCs w:val="22"/>
                    </w:rPr>
                    <m:t>74</m:t>
                  </m:r>
                </m:sup>
              </m:sSup>
            </m:oMath>
          </w:p>
        </w:tc>
        <w:tc>
          <w:tcPr>
            <w:tcW w:w="2156" w:type="dxa"/>
          </w:tcPr>
          <w:p>
            <w:pPr>
              <w:pStyle w:val="Compact"/>
              <w:spacing w:before="0" w:after="0" w:line="276" w:lineRule="auto"/>
              <w:jc w:val="right"/>
            </w:pPr>
            <m:oMath>
              <m:r>
                <w:rPr>
                  <w:sz w:val="22"/>
                  <w:szCs w:val="22"/>
                </w:rPr>
                <m:t>1.8</m:t>
              </m:r>
              <m:r>
                <m:rPr>
                  <m:sty m:val="p"/>
                </m:rPr>
                <w:rPr>
                  <w:sz w:val="22"/>
                  <w:szCs w:val="22"/>
                </w:rPr>
                <m:t>×</m:t>
              </m:r>
              <m:sSup>
                <m:e>
                  <m:r>
                    <w:rPr>
                      <w:sz w:val="22"/>
                      <w:szCs w:val="22"/>
                    </w:rPr>
                    <m:t>10</m:t>
                  </m:r>
                </m:e>
                <m:sup>
                  <m:r>
                    <m:rPr>
                      <m:sty m:val="p"/>
                    </m:rPr>
                    <w:rPr>
                      <w:sz w:val="22"/>
                      <w:szCs w:val="22"/>
                    </w:rPr>
                    <m:t>−</m:t>
                  </m:r>
                  <m:r>
                    <w:rPr>
                      <w:sz w:val="22"/>
                      <w:szCs w:val="22"/>
                    </w:rPr>
                    <m:t>192</m:t>
                  </m:r>
                </m:sup>
              </m:sSup>
            </m:oMath>
          </w:p>
        </w:tc>
      </w:tr>
    </w:tbl>
    <w:p>
      <w:pPr>
        <w:pStyle w:val="BodyText"/>
        <w:spacing w:before="200"/>
      </w:pPr>
      <w:r>
        <w:rPr>
          <w:b/>
          <w:bCs/>
        </w:rPr>
        <w:t xml:space="preserve">Importance versus ease of training.</w:t>
      </w:r>
      <w:r>
        <w:t xml:space="preserve"> </w:t>
      </w:r>
      <w:r>
        <w:t xml:space="preserve">No consistent trend links the two. Cement is both highly significant and easy to train. Age, however, is the most significant predictor in every configuration yet needed 11,694 iterations. Superplasticizer is the easiest univariate model but is not significant in the untransformed multivariate model. The aggregates, which have the weakest significant effects, are also the hardest to train, but that reflects their</w:t>
      </w:r>
      <w:r>
        <w:t xml:space="preserve"> </w:t>
      </w:r>
      <m:oMath>
        <m:acc>
          <m:accPr>
            <m:chr m:val="‾"/>
          </m:accPr>
          <m:e>
            <m:r>
              <m:t>x</m:t>
            </m:r>
          </m:e>
        </m:acc>
        <m:r>
          <m:rPr>
            <m:sty m:val="p"/>
          </m:rPr>
          <m:t>/</m:t>
        </m:r>
        <m:r>
          <m:t>s</m:t>
        </m:r>
      </m:oMath>
      <w:r>
        <w:t xml:space="preserve"> </w:t>
      </w:r>
      <w:r>
        <w:t xml:space="preserve">ratio, not their importance. Ease of training depends on the geometry of the univariate loss surface (scale, centering and the sign of the marginal slope). Significance measures a predictor’s conditional contribution once all the others are included.</w:t>
      </w:r>
    </w:p>
    <w:p>
      <w:pPr>
        <w:pStyle w:val="BodyText"/>
      </w:pPr>
      <w:r>
        <w:rPr>
          <w:b/>
          <w:bCs/>
        </w:rPr>
        <w:t xml:space="preserve">Which transformation changes significance.</w:t>
      </w:r>
      <w:r>
        <w:t xml:space="preserve"> </w:t>
      </w:r>
      <w:r>
        <w:t xml:space="preserve">Standardization leaves every p-value unchanged. Rescaling</w:t>
      </w:r>
      <w:r>
        <w:t xml:space="preserve"> </w:t>
      </w:r>
      <m:oMath>
        <m:sSub>
          <m:e>
            <m:r>
              <m:t>x</m:t>
            </m:r>
          </m:e>
          <m:sub>
            <m:r>
              <m:t>j</m:t>
            </m:r>
          </m:sub>
        </m:sSub>
        <m:r>
          <m:rPr>
            <m:sty m:val="p"/>
          </m:rPr>
          <m:t>→</m:t>
        </m:r>
        <m:r>
          <m:rPr>
            <m:sty m:val="p"/>
          </m:rPr>
          <m:t>(</m:t>
        </m:r>
        <m:sSub>
          <m:e>
            <m:r>
              <m:t>x</m:t>
            </m:r>
          </m:e>
          <m:sub>
            <m:r>
              <m:t>j</m:t>
            </m:r>
          </m:sub>
        </m:sSub>
        <m:r>
          <m:rPr>
            <m:sty m:val="p"/>
          </m:rPr>
          <m:t>−</m:t>
        </m:r>
        <m:sSub>
          <m:e>
            <m:r>
              <m:t>μ</m:t>
            </m:r>
          </m:e>
          <m:sub>
            <m:r>
              <m:t>j</m:t>
            </m:r>
          </m:sub>
        </m:sSub>
        <m:r>
          <m:rPr>
            <m:sty m:val="p"/>
          </m:rPr>
          <m:t>)</m:t>
        </m:r>
        <m:r>
          <m:rPr>
            <m:sty m:val="p"/>
          </m:rPr>
          <m:t>/</m:t>
        </m:r>
        <m:sSub>
          <m:e>
            <m:r>
              <m:t>σ</m:t>
            </m:r>
          </m:e>
          <m:sub>
            <m:r>
              <m:t>j</m:t>
            </m:r>
          </m:sub>
        </m:sSub>
      </m:oMath>
      <w:r>
        <w:t xml:space="preserve"> </w:t>
      </w:r>
      <w:r>
        <w:t xml:space="preserve">multiplies both</w:t>
      </w:r>
      <w:r>
        <w:t xml:space="preserve"> </w:t>
      </w:r>
      <m:oMath>
        <m:sSub>
          <m:e>
            <m:acc>
              <m:accPr>
                <m:chr m:val="̂"/>
              </m:accPr>
              <m:e>
                <m:r>
                  <m:t>β</m:t>
                </m:r>
              </m:e>
            </m:acc>
          </m:e>
          <m:sub>
            <m:r>
              <m:t>j</m:t>
            </m:r>
          </m:sub>
        </m:sSub>
      </m:oMath>
      <w:r>
        <w:t xml:space="preserve"> </w:t>
      </w:r>
      <w:r>
        <w:t xml:space="preserve">and</w:t>
      </w:r>
      <w:r>
        <w:t xml:space="preserve"> </w:t>
      </w:r>
      <m:oMath>
        <m:acc>
          <m:accPr>
            <m:chr m:val="̂"/>
          </m:accPr>
          <m:e>
            <m:r>
              <m:rPr>
                <m:sty m:val="p"/>
              </m:rPr>
              <m:t>S</m:t>
            </m:r>
            <m:r>
              <m:rPr>
                <m:sty m:val="p"/>
              </m:rPr>
              <m:t>E</m:t>
            </m:r>
          </m:e>
        </m:acc>
        <m:r>
          <m:rPr>
            <m:sty m:val="p"/>
          </m:rPr>
          <m:t>(</m:t>
        </m:r>
        <m:sSub>
          <m:e>
            <m:acc>
              <m:accPr>
                <m:chr m:val="̂"/>
              </m:accPr>
              <m:e>
                <m:r>
                  <m:t>β</m:t>
                </m:r>
              </m:e>
            </m:acc>
          </m:e>
          <m:sub>
            <m:r>
              <m:t>j</m:t>
            </m:r>
          </m:sub>
        </m:sSub>
        <m:r>
          <m:rPr>
            <m:sty m:val="p"/>
          </m:rPr>
          <m:t>)</m:t>
        </m:r>
      </m:oMath>
      <w:r>
        <w:t xml:space="preserve"> </w:t>
      </w:r>
      <w:r>
        <w:t xml:space="preserve">by</w:t>
      </w:r>
      <w:r>
        <w:t xml:space="preserve"> </w:t>
      </w:r>
      <m:oMath>
        <m:sSub>
          <m:e>
            <m:r>
              <m:t>σ</m:t>
            </m:r>
          </m:e>
          <m:sub>
            <m:r>
              <m:t>j</m:t>
            </m:r>
          </m:sub>
        </m:sSub>
      </m:oMath>
      <w:r>
        <w:t xml:space="preserve">, and the intercept absorbs the shift, so</w:t>
      </w:r>
      <w:r>
        <w:t xml:space="preserve"> </w:t>
      </w:r>
      <m:oMath>
        <m:sSub>
          <m:e>
            <m:r>
              <m:t>t</m:t>
            </m:r>
          </m:e>
          <m:sub>
            <m:r>
              <m:t>j</m:t>
            </m:r>
          </m:sub>
        </m:sSub>
      </m:oMath>
      <w:r>
        <w:t xml:space="preserve"> </w:t>
      </w:r>
      <w:r>
        <w:t xml:space="preserve">is invariant. The log transform changes significance drastically. Fly ash moves from</w:t>
      </w:r>
      <w:r>
        <w:t xml:space="preserve"> </w:t>
      </w:r>
      <m:oMath>
        <m:r>
          <m:t>3.3</m:t>
        </m:r>
        <m:r>
          <m:rPr>
            <m:sty m:val="p"/>
          </m:rPr>
          <m:t>×</m:t>
        </m:r>
        <m:sSup>
          <m:e>
            <m:r>
              <m:t>10</m:t>
            </m:r>
          </m:e>
          <m:sup>
            <m:r>
              <m:rPr>
                <m:sty m:val="p"/>
              </m:rPr>
              <m:t>−</m:t>
            </m:r>
            <m:r>
              <m:t>13</m:t>
            </m:r>
          </m:sup>
        </m:sSup>
      </m:oMath>
      <w:r>
        <w:t xml:space="preserve"> </w:t>
      </w:r>
      <w:r>
        <w:t xml:space="preserve">to 0.29, superplasticizer from 0.24 to</w:t>
      </w:r>
      <w:r>
        <w:t xml:space="preserve"> </w:t>
      </w:r>
      <m:oMath>
        <m:r>
          <m:t>8.4</m:t>
        </m:r>
        <m:r>
          <m:rPr>
            <m:sty m:val="p"/>
          </m:rPr>
          <m:t>×</m:t>
        </m:r>
        <m:sSup>
          <m:e>
            <m:r>
              <m:t>10</m:t>
            </m:r>
          </m:e>
          <m:sup>
            <m:r>
              <m:rPr>
                <m:sty m:val="p"/>
              </m:rPr>
              <m:t>−</m:t>
            </m:r>
            <m:r>
              <m:t>6</m:t>
            </m:r>
          </m:sup>
        </m:sSup>
      </m:oMath>
      <w:r>
        <w:t xml:space="preserve">, water from</w:t>
      </w:r>
      <w:r>
        <w:t xml:space="preserve"> </w:t>
      </w:r>
      <m:oMath>
        <m:r>
          <m:t>1.8</m:t>
        </m:r>
        <m:r>
          <m:rPr>
            <m:sty m:val="p"/>
          </m:rPr>
          <m:t>×</m:t>
        </m:r>
        <m:sSup>
          <m:e>
            <m:r>
              <m:t>10</m:t>
            </m:r>
          </m:e>
          <m:sup>
            <m:r>
              <m:rPr>
                <m:sty m:val="p"/>
              </m:rPr>
              <m:t>−</m:t>
            </m:r>
            <m:r>
              <m:t>3</m:t>
            </m:r>
          </m:sup>
        </m:sSup>
      </m:oMath>
      <w:r>
        <w:t xml:space="preserve"> </w:t>
      </w:r>
      <w:r>
        <w:t xml:space="preserve">to</w:t>
      </w:r>
      <w:r>
        <w:t xml:space="preserve"> </w:t>
      </w:r>
      <m:oMath>
        <m:r>
          <m:t>1.7</m:t>
        </m:r>
        <m:r>
          <m:rPr>
            <m:sty m:val="p"/>
          </m:rPr>
          <m:t>×</m:t>
        </m:r>
        <m:sSup>
          <m:e>
            <m:r>
              <m:t>10</m:t>
            </m:r>
          </m:e>
          <m:sup>
            <m:r>
              <m:rPr>
                <m:sty m:val="p"/>
              </m:rPr>
              <m:t>−</m:t>
            </m:r>
            <m:r>
              <m:t>20</m:t>
            </m:r>
          </m:sup>
        </m:sSup>
      </m:oMath>
      <w:r>
        <w:t xml:space="preserve">, and both aggregates lose significance. A non-linear transform changes the hypothesis being tested (the effect of a proportional rather than an absolute change), the collinearity among predictors, and the residual variance, which falls from</w:t>
      </w:r>
      <w:r>
        <w:t xml:space="preserve"> </w:t>
      </w:r>
      <m:oMath>
        <m:sSup>
          <m:e>
            <m:acc>
              <m:accPr>
                <m:chr m:val="̂"/>
              </m:accPr>
              <m:e>
                <m:r>
                  <m:t>σ</m:t>
                </m:r>
              </m:e>
            </m:acc>
          </m:e>
          <m:sup>
            <m:r>
              <m:t>2</m:t>
            </m:r>
          </m:sup>
        </m:sSup>
        <m:r>
          <m:rPr>
            <m:sty m:val="p"/>
          </m:rPr>
          <m:t>=</m:t>
        </m:r>
        <m:r>
          <m:t>105.2</m:t>
        </m:r>
      </m:oMath>
      <w:r>
        <w:t xml:space="preserve"> </w:t>
      </w:r>
      <w:r>
        <w:t xml:space="preserve">to 56.4. The p-values are therefore properties of the model specification, not fixed attributes of the ingredients.</w:t>
      </w:r>
    </w:p>
    <w:bookmarkEnd w:id="34"/>
    <w:bookmarkStart w:id="36" w:name="code-reproducibility-access"/>
    <w:p>
      <w:pPr>
        <w:pStyle w:val="Heading1"/>
      </w:pPr>
      <w:r>
        <w:t xml:space="preserve">Code &amp; Reproducibility Access</w:t>
      </w:r>
    </w:p>
    <w:p>
      <w:pPr>
        <w:pStyle w:val="FirstParagraph"/>
      </w:pPr>
      <w:r>
        <w:t xml:space="preserve">The full implementation is available at</w:t>
      </w:r>
      <w:r>
        <w:t xml:space="preserve"> </w:t>
      </w:r>
      <w:hyperlink r:id="rId35">
        <w:r>
          <w:rPr>
            <w:rStyle w:val="Hyperlink"/>
            <w:b/>
            <w:bCs/>
          </w:rPr>
          <w:t xml:space="preserve">https://github.com/brian-j-wei/data_mining_proj_1</w:t>
        </w:r>
      </w:hyperlink>
      <w:r>
        <w:t xml:space="preserve">. Every computation is deterministic: full-batch gradient descent from a zero initialization, a fixed train/test split, and closed-form baselines. Rerunning the scripts therefore reproduces every number exactly. The only random element is the horizontal jitter of points in the client report’s age figure, which uses a fixed seed. From the repository root, the following commands reproduce every figure and table in this appendix and in the client report. Table 8 maps each script to the results it produces.</w:t>
      </w:r>
    </w:p>
    <w:p>
      <w:pPr>
        <w:pStyle w:val="SourceCode"/>
      </w:pPr>
      <w:r>
        <w:rPr>
          <w:rStyle w:val="VerbatimChar"/>
        </w:rPr>
        <w:t xml:space="preserve">conda create -n dm_2026 python=3.12 &amp;&amp; conda activate dm_2026</w:t>
      </w:r>
      <w:r>
        <w:br/>
      </w:r>
      <w:r>
        <w:rPr>
          <w:rStyle w:val="VerbatimChar"/>
        </w:rPr>
        <w:t xml:space="preserve">pip install -r requirements.txt</w:t>
      </w:r>
      <w:r>
        <w:br/>
      </w:r>
      <w:r>
        <w:rPr>
          <w:rStyle w:val="VerbatimChar"/>
        </w:rPr>
        <w:t xml:space="preserve">bash run_all.sh            # every analysis script, in order (&lt; 1 min)</w:t>
      </w:r>
      <w:r>
        <w:br/>
      </w:r>
      <w:r>
        <w:br/>
      </w:r>
      <w:r>
        <w:rPr>
          <w:rStyle w:val="VerbatimChar"/>
        </w:rPr>
        <w:t xml:space="preserve"># optional: rebuild the two reports (needs pandoc)</w:t>
      </w:r>
      <w:r>
        <w:br/>
      </w:r>
      <w:r>
        <w:rPr>
          <w:rStyle w:val="VerbatimChar"/>
        </w:rPr>
        <w:t xml:space="preserve">conda install pandoc &amp;&amp; pip install -r reports/requirements.txt</w:t>
      </w:r>
      <w:r>
        <w:br/>
      </w:r>
      <w:r>
        <w:rPr>
          <w:rStyle w:val="VerbatimChar"/>
        </w:rPr>
        <w:t xml:space="preserve">python reports/build_reports.py</w:t>
      </w:r>
      <w:r>
        <w:br/>
      </w:r>
      <w:r>
        <w:br/>
      </w:r>
      <w:r>
        <w:rPr>
          <w:rStyle w:val="VerbatimChar"/>
        </w:rPr>
        <w:t xml:space="preserve"># optional: ad hoc runs at other learning rates, or one feature</w:t>
      </w:r>
      <w:r>
        <w:br/>
      </w:r>
      <w:r>
        <w:rPr>
          <w:rStyle w:val="VerbatimChar"/>
        </w:rPr>
        <w:t xml:space="preserve">python -m scripts.train --transform standardized --lr 0.01 --iters 5000</w:t>
      </w:r>
      <w:r>
        <w:br/>
      </w:r>
      <w:r>
        <w:rPr>
          <w:rStyle w:val="VerbatimChar"/>
        </w:rPr>
        <w:t xml:space="preserve">python -m scripts.train --feature Cement --lr 1e-5 --iters 5000</w:t>
      </w:r>
    </w:p>
    <w:p>
      <w:pPr>
        <w:pStyle w:val="TableCaption"/>
      </w:pPr>
      <w:r>
        <w:rPr>
          <w:b/>
          <w:bCs/>
        </w:rPr>
        <w:t xml:space="preserve">Table 8.</w:t>
      </w:r>
      <w:r>
        <w:t xml:space="preserve"> </w:t>
      </w:r>
      <w:r>
        <w:t xml:space="preserve">Scripts and the results they reproduce. Figures are written to</w:t>
      </w:r>
      <w:r>
        <w:t xml:space="preserve"> </w:t>
      </w:r>
      <w:r>
        <w:rPr>
          <w:rStyle w:val="VerbatimChar"/>
        </w:rPr>
        <w:t xml:space="preserve">assets/figures/</w:t>
      </w:r>
      <w:r>
        <w:t xml:space="preserve">, tables to</w:t>
      </w:r>
      <w:r>
        <w:t xml:space="preserve"> </w:t>
      </w:r>
      <w:r>
        <w:rPr>
          <w:rStyle w:val="VerbatimChar"/>
        </w:rPr>
        <w:t xml:space="preserve">assets/tables/</w:t>
      </w:r>
      <w:r>
        <w:t xml:space="preserve">.</w:t>
      </w:r>
    </w:p>
    <w:tbl>
      <w:tblPr>
        <w:tblStyle w:val="Table"/>
        <w:tblW w:type="dxa" w:w="9359"/>
        <w:jc w:val="center"/>
        <w:tblBorders>
          <w:top w:val="single" w:sz="8" w:space="0" w:color="1F3A5F"/>
          <w:left w:val="nil"/>
          <w:bottom w:val="single" w:sz="8" w:space="0" w:color="1F3A5F"/>
          <w:right w:val="nil"/>
          <w:insideH w:val="single" w:sz="2" w:space="0" w:color="D0D0D0"/>
          <w:insideV w:val="nil"/>
        </w:tblBorders>
        <w:tblLayout w:type="fixed"/>
        <w:tblCellMar>
          <w:top w:w="30" w:type="dxa"/>
          <w:left w:w="80" w:type="dxa"/>
          <w:bottom w:w="30" w:type="dxa"/>
          <w:right w:w="80" w:type="dxa"/>
        </w:tblCellMar>
        <w:tblLook w:firstRow="1" w:lastRow="0" w:firstColumn="0" w:lastColumn="0" w:noHBand="0" w:noVBand="0" w:val="0020"/>
        <w:tblCaption w:val="Table 8. Scripts and the results they reproduce. Figures are written to assets/figures/, tables to assets/tables/."/>
      </w:tblPr>
      <w:tblGrid>
        <w:gridCol w:w="5833"/>
        <w:gridCol w:w="3526"/>
      </w:tblGrid>
      <w:tr>
        <w:trPr>
          <w:cantSplit/>
          <w:tblHeader w:val="on"/>
        </w:trPr>
        <w:tc>
          <w:tcPr>
            <w:tcW w:w="5833" w:type="dxa"/>
            <w:tcBorders>
              <w:bottom w:val="single" w:sz="6" w:space="0" w:color="1F3A5F"/>
            </w:tcBorders>
            <w:shd w:val="clear" w:color="auto" w:fill="E9EEF5"/>
            <w:vAlign w:val="bottom"/>
          </w:tcPr>
          <w:p>
            <w:pPr>
              <w:pStyle w:val="Compact"/>
              <w:keepNext/>
              <w:spacing w:before="0" w:after="0" w:line="276" w:lineRule="auto"/>
              <w:jc w:val="left"/>
            </w:pPr>
            <w:r>
              <w:rPr>
                <w:b/>
                <w:sz w:val="22"/>
              </w:rPr>
              <w:t xml:space="preserve">Script</w:t>
            </w:r>
          </w:p>
        </w:tc>
        <w:tc>
          <w:tcPr>
            <w:tcW w:w="3526" w:type="dxa"/>
            <w:tcBorders>
              <w:bottom w:val="single" w:sz="6" w:space="0" w:color="1F3A5F"/>
            </w:tcBorders>
            <w:shd w:val="clear" w:color="auto" w:fill="E9EEF5"/>
            <w:vAlign w:val="bottom"/>
          </w:tcPr>
          <w:p>
            <w:pPr>
              <w:pStyle w:val="Compact"/>
              <w:keepNext/>
              <w:spacing w:before="0" w:after="0" w:line="276" w:lineRule="auto"/>
              <w:jc w:val="left"/>
            </w:pPr>
            <w:r>
              <w:rPr>
                <w:b/>
                <w:sz w:val="22"/>
              </w:rPr>
              <w:t xml:space="preserve">Reproduces</w:t>
            </w:r>
          </w:p>
        </w:tc>
      </w:tr>
      <w:tr>
        <w:trPr>
          <w:cantSplit/>
        </w:trPr>
        <w:tc>
          <w:tcPr>
            <w:tcW w:w="5833" w:type="dxa"/>
          </w:tcPr>
          <w:p>
            <w:pPr>
              <w:pStyle w:val="Compact"/>
              <w:keepNext/>
              <w:spacing w:before="0" w:after="0" w:line="276" w:lineRule="auto"/>
              <w:jc w:val="left"/>
            </w:pPr>
            <w:r>
              <w:rPr>
                <w:rStyle w:val="VerbatimChar"/>
                <w:sz w:val="22"/>
              </w:rPr>
              <w:t xml:space="preserve">utils/grad_descent.py</w:t>
            </w:r>
            <w:r>
              <w:rPr>
                <w:sz w:val="22"/>
              </w:rPr>
              <w:t xml:space="preserve">,</w:t>
            </w:r>
            <w:r>
              <w:rPr>
                <w:sz w:val="22"/>
              </w:rPr>
              <w:t xml:space="preserve"> </w:t>
            </w:r>
            <w:r>
              <w:rPr>
                <w:rStyle w:val="VerbatimChar"/>
                <w:sz w:val="22"/>
              </w:rPr>
              <w:t xml:space="preserve">models/linear.py</w:t>
            </w:r>
          </w:p>
        </w:tc>
        <w:tc>
          <w:tcPr>
            <w:tcW w:w="3526" w:type="dxa"/>
          </w:tcPr>
          <w:p>
            <w:pPr>
              <w:pStyle w:val="Compact"/>
              <w:keepNext/>
              <w:spacing w:before="0" w:after="0" w:line="276" w:lineRule="auto"/>
              <w:jc w:val="left"/>
            </w:pPr>
            <w:r>
              <w:rPr>
                <w:sz w:val="22"/>
              </w:rPr>
              <w:t xml:space="preserve">Gradient descent implementation; univariate and multivariate wrappers</w:t>
            </w:r>
          </w:p>
        </w:tc>
      </w:tr>
      <w:tr>
        <w:trPr>
          <w:cantSplit/>
        </w:trPr>
        <w:tc>
          <w:tcPr>
            <w:tcW w:w="5833" w:type="dxa"/>
          </w:tcPr>
          <w:p>
            <w:pPr>
              <w:pStyle w:val="Compact"/>
              <w:keepNext/>
              <w:spacing w:before="0" w:after="0" w:line="276" w:lineRule="auto"/>
              <w:jc w:val="left"/>
            </w:pPr>
            <w:r>
              <w:rPr>
                <w:rStyle w:val="VerbatimChar"/>
                <w:sz w:val="22"/>
              </w:rPr>
              <w:t xml:space="preserve">scripts/gradient_descent_self_contained.py</w:t>
            </w:r>
          </w:p>
        </w:tc>
        <w:tc>
          <w:tcPr>
            <w:tcW w:w="3526" w:type="dxa"/>
          </w:tcPr>
          <w:p>
            <w:pPr>
              <w:pStyle w:val="Compact"/>
              <w:keepNext/>
              <w:spacing w:before="0" w:after="0" w:line="276" w:lineRule="auto"/>
              <w:jc w:val="left"/>
            </w:pPr>
            <w:r>
              <w:rPr>
                <w:sz w:val="22"/>
              </w:rPr>
              <w:t xml:space="preserve">Self-contained gradient descent, untransformed vs. standardized loss curves</w:t>
            </w:r>
          </w:p>
        </w:tc>
      </w:tr>
      <w:tr>
        <w:trPr>
          <w:cantSplit/>
        </w:trPr>
        <w:tc>
          <w:tcPr>
            <w:tcW w:w="5833" w:type="dxa"/>
          </w:tcPr>
          <w:p>
            <w:pPr>
              <w:pStyle w:val="Compact"/>
              <w:spacing w:before="0" w:after="0" w:line="276" w:lineRule="auto"/>
              <w:jc w:val="left"/>
            </w:pPr>
            <w:r>
              <w:rPr>
                <w:rStyle w:val="VerbatimChar"/>
                <w:sz w:val="22"/>
              </w:rPr>
              <w:t xml:space="preserve">scripts/log_transformation.py</w:t>
            </w:r>
          </w:p>
        </w:tc>
        <w:tc>
          <w:tcPr>
            <w:tcW w:w="3526" w:type="dxa"/>
          </w:tcPr>
          <w:p>
            <w:pPr>
              <w:pStyle w:val="Compact"/>
              <w:spacing w:before="0" w:after="0" w:line="276" w:lineRule="auto"/>
              <w:jc w:val="left"/>
            </w:pPr>
            <w:r>
              <w:rPr>
                <w:sz w:val="22"/>
              </w:rPr>
              <w:t xml:space="preserve">Self-contained gradient descent with all three feature sets</w:t>
            </w:r>
          </w:p>
        </w:tc>
      </w:tr>
      <w:tr>
        <w:trPr>
          <w:cantSplit/>
        </w:trPr>
        <w:tc>
          <w:tcPr>
            <w:tcW w:w="5833" w:type="dxa"/>
          </w:tcPr>
          <w:p>
            <w:pPr>
              <w:pStyle w:val="Compact"/>
              <w:spacing w:before="0" w:after="0" w:line="276" w:lineRule="auto"/>
              <w:jc w:val="left"/>
            </w:pPr>
            <w:r>
              <w:rPr>
                <w:rStyle w:val="VerbatimChar"/>
                <w:sz w:val="22"/>
              </w:rPr>
              <w:t xml:space="preserve">scripts/convergence_diagnostics.py</w:t>
            </w:r>
          </w:p>
        </w:tc>
        <w:tc>
          <w:tcPr>
            <w:tcW w:w="3526" w:type="dxa"/>
          </w:tcPr>
          <w:p>
            <w:pPr>
              <w:pStyle w:val="Compact"/>
              <w:spacing w:before="0" w:after="0" w:line="276" w:lineRule="auto"/>
              <w:jc w:val="left"/>
            </w:pPr>
            <w:r>
              <w:rPr>
                <w:sz w:val="22"/>
              </w:rPr>
              <w:t xml:space="preserve">Tables 1–2, learning-rate sweep, Figures 1–2</w:t>
            </w:r>
          </w:p>
        </w:tc>
      </w:tr>
      <w:tr>
        <w:trPr>
          <w:cantSplit/>
        </w:trPr>
        <w:tc>
          <w:tcPr>
            <w:tcW w:w="5833" w:type="dxa"/>
          </w:tcPr>
          <w:p>
            <w:pPr>
              <w:pStyle w:val="Compact"/>
              <w:spacing w:before="0" w:after="0" w:line="276" w:lineRule="auto"/>
              <w:jc w:val="left"/>
            </w:pPr>
            <w:r>
              <w:rPr>
                <w:rStyle w:val="VerbatimChar"/>
                <w:sz w:val="22"/>
              </w:rPr>
              <w:t xml:space="preserve">scripts/optimal_coefficients.py</w:t>
            </w:r>
          </w:p>
        </w:tc>
        <w:tc>
          <w:tcPr>
            <w:tcW w:w="3526" w:type="dxa"/>
          </w:tcPr>
          <w:p>
            <w:pPr>
              <w:pStyle w:val="Compact"/>
              <w:spacing w:before="0" w:after="0" w:line="276" w:lineRule="auto"/>
              <w:jc w:val="left"/>
            </w:pPr>
            <w:r>
              <w:rPr>
                <w:sz w:val="22"/>
              </w:rPr>
              <w:t xml:space="preserve">Table 3</w:t>
            </w:r>
          </w:p>
        </w:tc>
      </w:tr>
      <w:tr>
        <w:trPr>
          <w:cantSplit/>
        </w:trPr>
        <w:tc>
          <w:tcPr>
            <w:tcW w:w="5833" w:type="dxa"/>
          </w:tcPr>
          <w:p>
            <w:pPr>
              <w:pStyle w:val="Compact"/>
              <w:spacing w:before="0" w:after="0" w:line="276" w:lineRule="auto"/>
              <w:jc w:val="left"/>
            </w:pPr>
            <w:r>
              <w:rPr>
                <w:rStyle w:val="VerbatimChar"/>
                <w:sz w:val="22"/>
              </w:rPr>
              <w:t xml:space="preserve">scripts/summary_table.py</w:t>
            </w:r>
          </w:p>
        </w:tc>
        <w:tc>
          <w:tcPr>
            <w:tcW w:w="3526" w:type="dxa"/>
          </w:tcPr>
          <w:p>
            <w:pPr>
              <w:pStyle w:val="Compact"/>
              <w:spacing w:before="0" w:after="0" w:line="276" w:lineRule="auto"/>
              <w:jc w:val="left"/>
            </w:pPr>
            <w:r>
              <w:rPr>
                <w:sz w:val="22"/>
              </w:rPr>
              <w:t xml:space="preserve">Table 4</w:t>
            </w:r>
          </w:p>
        </w:tc>
      </w:tr>
      <w:tr>
        <w:trPr>
          <w:cantSplit/>
        </w:trPr>
        <w:tc>
          <w:tcPr>
            <w:tcW w:w="5833" w:type="dxa"/>
          </w:tcPr>
          <w:p>
            <w:pPr>
              <w:pStyle w:val="Compact"/>
              <w:spacing w:before="0" w:after="0" w:line="276" w:lineRule="auto"/>
              <w:jc w:val="left"/>
            </w:pPr>
            <w:r>
              <w:rPr>
                <w:rStyle w:val="VerbatimChar"/>
                <w:sz w:val="22"/>
              </w:rPr>
              <w:t xml:space="preserve">scripts/univariate_gradient_descent.py</w:t>
            </w:r>
          </w:p>
        </w:tc>
        <w:tc>
          <w:tcPr>
            <w:tcW w:w="3526" w:type="dxa"/>
          </w:tcPr>
          <w:p>
            <w:pPr>
              <w:pStyle w:val="Compact"/>
              <w:spacing w:before="0" w:after="0" w:line="276" w:lineRule="auto"/>
              <w:jc w:val="left"/>
            </w:pPr>
            <w:r>
              <w:rPr>
                <w:sz w:val="22"/>
              </w:rPr>
              <w:t xml:space="preserve">Table 5, Figure 3</w:t>
            </w:r>
          </w:p>
        </w:tc>
      </w:tr>
      <w:tr>
        <w:trPr>
          <w:cantSplit/>
        </w:trPr>
        <w:tc>
          <w:tcPr>
            <w:tcW w:w="5833" w:type="dxa"/>
          </w:tcPr>
          <w:p>
            <w:pPr>
              <w:pStyle w:val="Compact"/>
              <w:spacing w:before="0" w:after="0" w:line="276" w:lineRule="auto"/>
              <w:jc w:val="left"/>
            </w:pPr>
            <w:r>
              <w:rPr>
                <w:rStyle w:val="VerbatimChar"/>
                <w:sz w:val="22"/>
              </w:rPr>
              <w:t xml:space="preserve">scripts/univariate_vs_multivariate.py</w:t>
            </w:r>
          </w:p>
        </w:tc>
        <w:tc>
          <w:tcPr>
            <w:tcW w:w="3526" w:type="dxa"/>
          </w:tcPr>
          <w:p>
            <w:pPr>
              <w:pStyle w:val="Compact"/>
              <w:spacing w:before="0" w:after="0" w:line="276" w:lineRule="auto"/>
              <w:jc w:val="left"/>
            </w:pPr>
            <w:r>
              <w:rPr>
                <w:sz w:val="22"/>
              </w:rPr>
              <w:t xml:space="preserve">Table 6, Figure 4</w:t>
            </w:r>
          </w:p>
        </w:tc>
      </w:tr>
      <w:tr>
        <w:trPr>
          <w:cantSplit/>
        </w:trPr>
        <w:tc>
          <w:tcPr>
            <w:tcW w:w="5833" w:type="dxa"/>
          </w:tcPr>
          <w:p>
            <w:pPr>
              <w:pStyle w:val="Compact"/>
              <w:spacing w:before="0" w:after="0" w:line="276" w:lineRule="auto"/>
              <w:jc w:val="left"/>
            </w:pPr>
            <w:r>
              <w:rPr>
                <w:rStyle w:val="VerbatimChar"/>
                <w:sz w:val="22"/>
              </w:rPr>
              <w:t xml:space="preserve">scripts/pvalues.py</w:t>
            </w:r>
          </w:p>
        </w:tc>
        <w:tc>
          <w:tcPr>
            <w:tcW w:w="3526" w:type="dxa"/>
          </w:tcPr>
          <w:p>
            <w:pPr>
              <w:pStyle w:val="Compact"/>
              <w:spacing w:before="0" w:after="0" w:line="276" w:lineRule="auto"/>
              <w:jc w:val="left"/>
            </w:pPr>
            <w:r>
              <w:rPr>
                <w:sz w:val="22"/>
              </w:rPr>
              <w:t xml:space="preserve">Table 7</w:t>
            </w:r>
          </w:p>
        </w:tc>
      </w:tr>
      <w:tr>
        <w:trPr>
          <w:cantSplit/>
        </w:trPr>
        <w:tc>
          <w:tcPr>
            <w:tcW w:w="5833" w:type="dxa"/>
          </w:tcPr>
          <w:p>
            <w:pPr>
              <w:pStyle w:val="Compact"/>
              <w:spacing w:before="0" w:after="0" w:line="276" w:lineRule="auto"/>
              <w:jc w:val="left"/>
            </w:pPr>
            <w:r>
              <w:rPr>
                <w:rStyle w:val="VerbatimChar"/>
                <w:sz w:val="22"/>
              </w:rPr>
              <w:t xml:space="preserve">scripts/descriptive_stats.py</w:t>
            </w:r>
            <w:r>
              <w:rPr>
                <w:sz w:val="22"/>
              </w:rPr>
              <w:t xml:space="preserve">,</w:t>
            </w:r>
            <w:r>
              <w:rPr>
                <w:sz w:val="22"/>
              </w:rPr>
              <w:t xml:space="preserve"> </w:t>
            </w:r>
            <w:r>
              <w:rPr>
                <w:rStyle w:val="VerbatimChar"/>
                <w:sz w:val="22"/>
              </w:rPr>
              <w:t xml:space="preserve">scripts/client_insights.py</w:t>
            </w:r>
          </w:p>
        </w:tc>
        <w:tc>
          <w:tcPr>
            <w:tcW w:w="3526" w:type="dxa"/>
          </w:tcPr>
          <w:p>
            <w:pPr>
              <w:pStyle w:val="Compact"/>
              <w:spacing w:before="0" w:after="0" w:line="276" w:lineRule="auto"/>
              <w:jc w:val="left"/>
            </w:pPr>
            <w:r>
              <w:rPr>
                <w:sz w:val="22"/>
              </w:rPr>
              <w:t xml:space="preserve">Client report tables and figures</w:t>
            </w:r>
          </w:p>
        </w:tc>
      </w:tr>
      <w:tr>
        <w:trPr>
          <w:cantSplit/>
        </w:trPr>
        <w:tc>
          <w:tcPr>
            <w:tcW w:w="5833" w:type="dxa"/>
          </w:tcPr>
          <w:p>
            <w:pPr>
              <w:pStyle w:val="Compact"/>
              <w:spacing w:before="0" w:after="0" w:line="276" w:lineRule="auto"/>
              <w:jc w:val="left"/>
            </w:pPr>
            <w:r>
              <w:rPr>
                <w:rStyle w:val="VerbatimChar"/>
                <w:sz w:val="22"/>
              </w:rPr>
              <w:t xml:space="preserve">scripts/train.py</w:t>
            </w:r>
            <w:r>
              <w:rPr>
                <w:sz w:val="22"/>
              </w:rPr>
              <w:t xml:space="preserve">,</w:t>
            </w:r>
            <w:r>
              <w:rPr>
                <w:sz w:val="22"/>
              </w:rPr>
              <w:t xml:space="preserve"> </w:t>
            </w:r>
            <w:r>
              <w:rPr>
                <w:rStyle w:val="VerbatimChar"/>
                <w:sz w:val="22"/>
              </w:rPr>
              <w:t xml:space="preserve">scripts/eval.py</w:t>
            </w:r>
          </w:p>
        </w:tc>
        <w:tc>
          <w:tcPr>
            <w:tcW w:w="3526" w:type="dxa"/>
          </w:tcPr>
          <w:p>
            <w:pPr>
              <w:pStyle w:val="Compact"/>
              <w:spacing w:before="0" w:after="0" w:line="276" w:lineRule="auto"/>
              <w:jc w:val="left"/>
            </w:pPr>
            <w:r>
              <w:rPr>
                <w:sz w:val="22"/>
              </w:rPr>
              <w:t xml:space="preserve">Command-line interface for ad hoc runs</w:t>
            </w:r>
          </w:p>
        </w:tc>
      </w:tr>
    </w:tbl>
    <w:bookmarkEnd w:id="36"/>
    <w:sectPr>
      <w:footerReference r:id="rId9" w:type="default"/>
      <w:footnotePr>
        <w:numRestart w:val="eachSect"/>
      </w:footnotePr>
      <w:pgSz w:h="15840" w:w="12240"/>
      <w:pgMar w:bottom="1440" w:foot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04040"/>
        <w:sz w:val="22"/>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76" w:lineRule="auto"/>
    </w:pPr>
    <w:rPr>
      <w:rFonts w:ascii="Calibri" w:cs="Calibri" w:eastAsia="Calibri" w:hAnsi="Calibri"/>
      <w:sz w:val="22"/>
    </w:rPr>
  </w:style>
  <w:style w:styleId="BodyText" w:type="paragraph">
    <w:name w:val="Body Text"/>
    <w:basedOn w:val="Normal"/>
    <w:link w:val="BodyTextChar"/>
    <w:qFormat/>
    <w:pPr>
      <w:spacing w:after="120" w:before="0" w:line="276" w:lineRule="auto"/>
    </w:pPr>
    <w:rPr>
      <w:rFonts w:ascii="Calibri" w:cs="Calibri" w:eastAsia="Calibri" w:hAnsi="Calibri"/>
      <w:sz w:val="22"/>
    </w:rPr>
  </w:style>
  <w:style w:customStyle="1" w:styleId="FirstParagraph" w:type="paragraph">
    <w:name w:val="First Paragraph"/>
    <w:basedOn w:val="BodyText"/>
    <w:next w:val="BodyText"/>
    <w:qFormat/>
    <w:pPr>
      <w:spacing w:after="120" w:before="0" w:line="276" w:lineRule="auto"/>
    </w:pPr>
    <w:rPr>
      <w:rFonts w:ascii="Calibri" w:cs="Calibri" w:eastAsia="Calibri" w:hAnsi="Calibri"/>
      <w:sz w:val="22"/>
    </w:rPr>
  </w:style>
  <w:style w:customStyle="1" w:styleId="Compact" w:type="paragraph">
    <w:name w:val="Compact"/>
    <w:basedOn w:val="BodyText"/>
    <w:qFormat/>
    <w:pPr>
      <w:spacing w:after="60" w:before="0" w:line="276" w:lineRule="auto"/>
    </w:pPr>
    <w:rPr>
      <w:rFonts w:ascii="Calibri" w:cs="Calibri" w:eastAsia="Calibri" w:hAnsi="Calibri"/>
      <w:sz w:val="22"/>
    </w:rPr>
  </w:style>
  <w:style w:styleId="Title" w:type="paragraph">
    <w:name w:val="Title"/>
    <w:basedOn w:val="Normal"/>
    <w:next w:val="BodyText"/>
    <w:link w:val="TitleChar"/>
    <w:uiPriority w:val="10"/>
    <w:qFormat/>
    <w:rsid w:val="00A10FD9"/>
    <w:pPr>
      <w:spacing w:after="80" w:before="0" w:line="276" w:lineRule="auto"/>
      <w:contextualSpacing/>
      <w:jc w:val="center"/>
    </w:pPr>
    <w:rPr>
      <w:rFonts w:ascii="Calibri" w:cs="Calibri" w:eastAsia="Calibri" w:hAnsi="Calibri"/>
      <w:b/>
      <w:color w:val="1F3A5F"/>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80" w:before="0" w:line="276" w:lineRule="auto"/>
    </w:pPr>
    <w:rPr>
      <w:rFonts w:ascii="Calibri" w:cs="Calibri" w:eastAsia="Calibri" w:hAnsi="Calibri"/>
      <w:b w:val="0"/>
      <w:i w:val="0"/>
      <w:color w:val="404040"/>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40" w:before="0" w:line="276" w:lineRule="auto"/>
    </w:pPr>
    <w:rPr>
      <w:rFonts w:ascii="Calibri" w:cs="Calibri" w:eastAsia="Calibri" w:hAnsi="Calibri"/>
      <w:color w:val="404040"/>
      <w:sz w:val="22"/>
      <w:szCs w:val="24"/>
    </w:rPr>
  </w:style>
  <w:style w:styleId="Date" w:type="paragraph">
    <w:name w:val="Date"/>
    <w:basedOn w:val="Title"/>
    <w:next w:val="BodyText"/>
    <w:qFormat/>
    <w:pPr>
      <w:keepNext/>
      <w:keepLines/>
      <w:spacing w:after="40" w:before="0" w:line="276" w:lineRule="auto"/>
    </w:pPr>
    <w:rPr>
      <w:rFonts w:ascii="Calibri" w:cs="Calibri" w:eastAsia="Calibri" w:hAnsi="Calibri"/>
      <w:color w:val="404040"/>
      <w:sz w:val="22"/>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280" w:line="276" w:lineRule="auto"/>
      <w:outlineLvl w:val="0"/>
    </w:pPr>
    <w:rPr>
      <w:rFonts w:ascii="Calibri" w:cs="Calibri" w:eastAsia="Calibri" w:hAnsi="Calibri"/>
      <w:b/>
      <w:i w:val="0"/>
      <w:color w:val="1F3A5F"/>
      <w:sz w:val="28"/>
      <w:szCs w:val="40"/>
    </w:rPr>
  </w:style>
  <w:style w:styleId="Heading2" w:type="paragraph">
    <w:name w:val="heading 2"/>
    <w:basedOn w:val="Normal"/>
    <w:next w:val="BodyText"/>
    <w:link w:val="Heading2Char"/>
    <w:uiPriority w:val="9"/>
    <w:semiHidden/>
    <w:unhideWhenUsed/>
    <w:qFormat/>
    <w:rsid w:val="00A10FD9"/>
    <w:pPr>
      <w:keepNext/>
      <w:keepLines/>
      <w:spacing w:after="80" w:before="200" w:line="276" w:lineRule="auto"/>
      <w:outlineLvl w:val="1"/>
    </w:pPr>
    <w:rPr>
      <w:rFonts w:ascii="Calibri" w:cs="Calibri" w:eastAsia="Calibri" w:hAnsi="Calibri"/>
      <w:b/>
      <w:i w:val="0"/>
      <w:color w:val="1F3A5F"/>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276" w:lineRule="auto"/>
      <w:outlineLvl w:val="2"/>
    </w:pPr>
    <w:rPr>
      <w:rFonts w:ascii="Calibri" w:cs="Calibri" w:eastAsia="Calibri" w:hAnsi="Calibri"/>
      <w:b/>
      <w:i w:val="0"/>
      <w:color w:val="1F3A5F"/>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Calibri" w:cs="Calibri" w:eastAsia="Calibri" w:hAnsi="Calibri"/>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80" w:before="160" w:line="276" w:lineRule="auto"/>
    </w:pPr>
    <w:rPr>
      <w:rFonts w:ascii="Calibri" w:cs="Calibri" w:eastAsia="Calibri" w:hAnsi="Calibri"/>
      <w:i w:val="0"/>
      <w:color w:val="404040"/>
      <w:sz w:val="22"/>
    </w:rPr>
  </w:style>
  <w:style w:customStyle="1" w:styleId="ImageCaption" w:type="paragraph">
    <w:name w:val="Image Caption"/>
    <w:basedOn w:val="Caption"/>
    <w:pPr>
      <w:spacing w:after="200" w:before="40" w:line="276" w:lineRule="auto"/>
    </w:pPr>
    <w:rPr>
      <w:rFonts w:ascii="Calibri" w:cs="Calibri" w:eastAsia="Calibri" w:hAnsi="Calibri"/>
      <w:i w:val="0"/>
      <w:color w:val="404040"/>
      <w:sz w:val="22"/>
    </w:rPr>
  </w:style>
  <w:style w:customStyle="1" w:styleId="Figure" w:type="paragraph">
    <w:name w:val="Figure"/>
    <w:basedOn w:val="Normal"/>
    <w:pPr>
      <w:keepNext/>
      <w:spacing w:after="0" w:before="120" w:line="240" w:lineRule="auto"/>
      <w:jc w:val="center"/>
    </w:pPr>
  </w:style>
  <w:style w:customStyle="1" w:styleId="CaptionedFigure" w:type="paragraph">
    <w:name w:val="Captioned Figure"/>
    <w:basedOn w:val="Figure"/>
    <w:pPr>
      <w:keepNext/>
      <w:spacing w:after="0" w:before="120" w:line="240" w:lineRule="auto"/>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pPr>
      <w:spacing w:after="160" w:before="80" w:line="276" w:lineRule="auto"/>
      <w:shd w:color="auto" w:fill="F4F5F7" w:val="clear"/>
    </w:pPr>
    <w:rPr>
      <w:rFonts w:ascii="Consolas" w:cs="Consolas" w:eastAsia="Consolas" w:hAnsi="Consolas"/>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 Id="rId23" Type="http://schemas.openxmlformats.org/officeDocument/2006/relationships/image" Target="media/rId23.png"/><Relationship Id="rId19" Type="http://schemas.openxmlformats.org/officeDocument/2006/relationships/image" Target="media/rId19.png"/><Relationship Id="rId30" Type="http://schemas.openxmlformats.org/officeDocument/2006/relationships/image" Target="media/rId30.png"/><Relationship Id="rId27" Type="http://schemas.openxmlformats.org/officeDocument/2006/relationships/image" Target="media/rId27.png"/><Relationship Id="rId35" Type="http://schemas.openxmlformats.org/officeDocument/2006/relationships/hyperlink" Target="https://github.com/brian-j-wei/data_mining_proj_1" TargetMode="External"/></Relationships>
</file>

<file path=word/_rels/footnotes.xml.rels><?xml version='1.0' encoding='UTF-8' standalone='yes'?>
<Relationships xmlns="http://schemas.openxmlformats.org/package/2006/relationships"><Relationship Id="rId35" Type="http://schemas.openxmlformats.org/officeDocument/2006/relationships/hyperlink" Target="https://github.com/brian-j-wei/data_mining_proj_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&amp; Reproducibility Appendix</dc:title>
  <dc:creator>CSE 5104 Project 1</dc:creator>
  <cp:keywords/>
  <dcterms:created xsi:type="dcterms:W3CDTF">2026-10-16T19:07:28Z</dcterms:created>
  <dcterms:modified xsi:type="dcterms:W3CDTF">2026-10-16T19:07:28Z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2026</vt:lpwstr>
  </property>
  <property fmtid="{D5CDD505-2E9C-101B-9397-08002B2CF9AE}" pid="3" name="subtitle">
    <vt:lpwstr>Gradient descent linear regression on the UCI Concrete Compressive Strength dataset</vt:lpwstr>
  </property>
</Properties>
</file>