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7355"/>
        <w:gridCol w:w="7355"/>
      </w:tblGrid>
      <w:tr>
        <w:trPr>
          <w:trHeight w:hRule="exact" w:val="322"/>
        </w:trPr>
        <w:tc>
          <w:tcPr>
            <w:tcW w:type="dxa" w:w="13232"/>
            <w:gridSpan w:val="2"/>
            <w:tcBorders>
              <w:start w:sz="12.0" w:val="single" w:color="#000000"/>
              <w:top w:sz="5.599999999999994" w:val="single" w:color="#000000"/>
              <w:end w:sz="12.0" w:val="single" w:color="#000000"/>
              <w:bottom w:sz="12.799999999999955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TABLE OF CONTENTS</w:t>
            </w:r>
          </w:p>
        </w:tc>
      </w:tr>
      <w:tr>
        <w:trPr>
          <w:trHeight w:hRule="exact" w:val="396"/>
        </w:trPr>
        <w:tc>
          <w:tcPr>
            <w:tcW w:type="dxa" w:w="860"/>
            <w:tcBorders>
              <w:start w:sz="6.399999999999977" w:val="single" w:color="#000000"/>
              <w:top w:sz="12.799999999999955" w:val="single" w:color="#000000"/>
              <w:end w:sz="6.399999999999977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06" w:after="0"/>
              <w:ind w:left="0" w:right="0" w:firstLine="0"/>
              <w:jc w:val="center"/>
            </w:pPr>
            <w:r>
              <w:rPr>
                <w:w w:val="97.5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S/No</w:t>
            </w:r>
          </w:p>
        </w:tc>
        <w:tc>
          <w:tcPr>
            <w:tcW w:type="dxa" w:w="12372"/>
            <w:tcBorders>
              <w:start w:sz="6.399999999999977" w:val="single" w:color="#000000"/>
              <w:top w:sz="12.799999999999955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06" w:after="0"/>
              <w:ind w:left="0" w:right="0" w:firstLine="0"/>
              <w:jc w:val="left"/>
            </w:pPr>
            <w:r>
              <w:rPr>
                <w:w w:val="97.5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Title</w:t>
            </w:r>
          </w:p>
        </w:tc>
      </w:tr>
      <w:tr>
        <w:trPr>
          <w:trHeight w:hRule="exact" w:val="392"/>
        </w:trPr>
        <w:tc>
          <w:tcPr>
            <w:tcW w:type="dxa" w:w="860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12372"/>
            <w:tcBorders>
              <w:start w:sz="6.399999999999977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Improve IFMIS Governance environment</w:t>
            </w:r>
          </w:p>
        </w:tc>
      </w:tr>
      <w:tr>
        <w:trPr>
          <w:trHeight w:hRule="exact" w:val="388"/>
        </w:trPr>
        <w:tc>
          <w:tcPr>
            <w:tcW w:type="dxa" w:w="860"/>
            <w:tcBorders>
              <w:start w:sz="6.399999999999977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2</w:t>
            </w:r>
          </w:p>
        </w:tc>
        <w:tc>
          <w:tcPr>
            <w:tcW w:type="dxa" w:w="12372"/>
            <w:tcBorders>
              <w:start w:sz="6.399999999999977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Generation of standardized, accurate and timely financial statements in IFMIS</w:t>
            </w:r>
          </w:p>
        </w:tc>
      </w:tr>
      <w:tr>
        <w:trPr>
          <w:trHeight w:hRule="exact" w:val="392"/>
        </w:trPr>
        <w:tc>
          <w:tcPr>
            <w:tcW w:type="dxa" w:w="860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3</w:t>
            </w:r>
          </w:p>
        </w:tc>
        <w:tc>
          <w:tcPr>
            <w:tcW w:type="dxa" w:w="12372"/>
            <w:tcBorders>
              <w:start w:sz="6.399999999999977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Implement Digital signatures and Bar-coding/QR code for documents generated in IFMIS</w:t>
            </w:r>
          </w:p>
        </w:tc>
      </w:tr>
      <w:tr>
        <w:trPr>
          <w:trHeight w:hRule="exact" w:val="388"/>
        </w:trPr>
        <w:tc>
          <w:tcPr>
            <w:tcW w:type="dxa" w:w="860"/>
            <w:tcBorders>
              <w:start w:sz="6.399999999999977" w:val="single" w:color="#000000"/>
              <w:top w:sz="6.399999999999977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4</w:t>
            </w:r>
          </w:p>
        </w:tc>
        <w:tc>
          <w:tcPr>
            <w:tcW w:type="dxa" w:w="12372"/>
            <w:tcBorders>
              <w:start w:sz="6.399999999999977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eProcurement enhancements</w:t>
            </w:r>
          </w:p>
        </w:tc>
      </w:tr>
      <w:tr>
        <w:trPr>
          <w:trHeight w:hRule="exact" w:val="392"/>
        </w:trPr>
        <w:tc>
          <w:tcPr>
            <w:tcW w:type="dxa" w:w="860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5</w:t>
            </w:r>
          </w:p>
        </w:tc>
        <w:tc>
          <w:tcPr>
            <w:tcW w:type="dxa" w:w="12372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Document Management system (DMS)</w:t>
            </w:r>
          </w:p>
        </w:tc>
      </w:tr>
      <w:tr>
        <w:trPr>
          <w:trHeight w:hRule="exact" w:val="388"/>
        </w:trPr>
        <w:tc>
          <w:tcPr>
            <w:tcW w:type="dxa" w:w="860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6</w:t>
            </w:r>
          </w:p>
        </w:tc>
        <w:tc>
          <w:tcPr>
            <w:tcW w:type="dxa" w:w="12372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Develop Framework for Governance Risk Compliance (GRC)</w:t>
            </w:r>
          </w:p>
        </w:tc>
      </w:tr>
      <w:tr>
        <w:trPr>
          <w:trHeight w:hRule="exact" w:val="392"/>
        </w:trPr>
        <w:tc>
          <w:tcPr>
            <w:tcW w:type="dxa" w:w="860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7</w:t>
            </w:r>
          </w:p>
        </w:tc>
        <w:tc>
          <w:tcPr>
            <w:tcW w:type="dxa" w:w="12372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Rollout, support, and training of solutions under pilot to all MDAs and Counties</w:t>
            </w:r>
          </w:p>
        </w:tc>
      </w:tr>
      <w:tr>
        <w:trPr>
          <w:trHeight w:hRule="exact" w:val="388"/>
        </w:trPr>
        <w:tc>
          <w:tcPr>
            <w:tcW w:type="dxa" w:w="860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8</w:t>
            </w:r>
          </w:p>
        </w:tc>
        <w:tc>
          <w:tcPr>
            <w:tcW w:type="dxa" w:w="12372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Re-engineer existing processes to achieve efficiency and resolve issues.</w:t>
            </w:r>
          </w:p>
        </w:tc>
      </w:tr>
      <w:tr>
        <w:trPr>
          <w:trHeight w:hRule="exact" w:val="392"/>
        </w:trPr>
        <w:tc>
          <w:tcPr>
            <w:tcW w:type="dxa" w:w="860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9</w:t>
            </w:r>
          </w:p>
        </w:tc>
        <w:tc>
          <w:tcPr>
            <w:tcW w:type="dxa" w:w="12372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Design, Implementation, and rollout of new solutions</w:t>
            </w:r>
          </w:p>
        </w:tc>
      </w:tr>
      <w:tr>
        <w:trPr>
          <w:trHeight w:hRule="exact" w:val="390"/>
        </w:trPr>
        <w:tc>
          <w:tcPr>
            <w:tcW w:type="dxa" w:w="860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10</w:t>
            </w:r>
          </w:p>
        </w:tc>
        <w:tc>
          <w:tcPr>
            <w:tcW w:type="dxa" w:w="12372"/>
            <w:vMerge w:val="restart"/>
            <w:tcBorders>
              <w:start w:sz="6.399999999999977" w:val="single" w:color="#000000"/>
              <w:top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78" w:after="0"/>
              <w:ind w:left="0" w:right="86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 xml:space="preserve">Technology Enhancements on the current processes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Integration of Oracle APEX to IFMIS</w:t>
            </w:r>
          </w:p>
        </w:tc>
      </w:tr>
      <w:tr>
        <w:trPr>
          <w:trHeight w:hRule="exact" w:val="390"/>
        </w:trPr>
        <w:tc>
          <w:tcPr>
            <w:tcW w:type="dxa" w:w="860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11</w:t>
            </w:r>
          </w:p>
        </w:tc>
        <w:tc>
          <w:tcPr>
            <w:tcW w:type="dxa" w:w="7355"/>
            <w:vMerge/>
            <w:tcBorders>
              <w:start w:sz="6.399999999999977" w:val="single" w:color="#000000"/>
              <w:top w:sz="6.400000000000091" w:val="single" w:color="#000000"/>
              <w:bottom w:sz="6.400000000000091" w:val="single" w:color="#000000"/>
            </w:tcBorders>
          </w:tcPr>
          <w:p/>
        </w:tc>
      </w:tr>
      <w:tr>
        <w:trPr>
          <w:trHeight w:hRule="exact" w:val="390"/>
        </w:trPr>
        <w:tc>
          <w:tcPr>
            <w:tcW w:type="dxa" w:w="860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12</w:t>
            </w:r>
          </w:p>
        </w:tc>
        <w:tc>
          <w:tcPr>
            <w:tcW w:type="dxa" w:w="12372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Implementation of Oracle Analytics</w:t>
            </w:r>
          </w:p>
        </w:tc>
      </w:tr>
      <w:tr>
        <w:trPr>
          <w:trHeight w:hRule="exact" w:val="390"/>
        </w:trPr>
        <w:tc>
          <w:tcPr>
            <w:tcW w:type="dxa" w:w="860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13</w:t>
            </w:r>
          </w:p>
        </w:tc>
        <w:tc>
          <w:tcPr>
            <w:tcW w:type="dxa" w:w="12372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Switch from IFMIS e-procurement to EGP</w:t>
            </w:r>
          </w:p>
        </w:tc>
      </w:tr>
      <w:tr>
        <w:trPr>
          <w:trHeight w:hRule="exact" w:val="390"/>
        </w:trPr>
        <w:tc>
          <w:tcPr>
            <w:tcW w:type="dxa" w:w="860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14</w:t>
            </w:r>
          </w:p>
        </w:tc>
        <w:tc>
          <w:tcPr>
            <w:tcW w:type="dxa" w:w="12372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Enhancements of Pending Bills management processes in IFMIS</w:t>
            </w:r>
          </w:p>
        </w:tc>
      </w:tr>
      <w:tr>
        <w:trPr>
          <w:trHeight w:hRule="exact" w:val="390"/>
        </w:trPr>
        <w:tc>
          <w:tcPr>
            <w:tcW w:type="dxa" w:w="860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15</w:t>
            </w:r>
          </w:p>
        </w:tc>
        <w:tc>
          <w:tcPr>
            <w:tcW w:type="dxa" w:w="12372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Cash Management Enhancements</w:t>
            </w:r>
          </w:p>
        </w:tc>
      </w:tr>
      <w:tr>
        <w:trPr>
          <w:trHeight w:hRule="exact" w:val="390"/>
        </w:trPr>
        <w:tc>
          <w:tcPr>
            <w:tcW w:type="dxa" w:w="860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16</w:t>
            </w:r>
          </w:p>
        </w:tc>
        <w:tc>
          <w:tcPr>
            <w:tcW w:type="dxa" w:w="12372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Integration</w:t>
            </w:r>
          </w:p>
        </w:tc>
      </w:tr>
      <w:tr>
        <w:trPr>
          <w:trHeight w:hRule="exact" w:val="390"/>
        </w:trPr>
        <w:tc>
          <w:tcPr>
            <w:tcW w:type="dxa" w:w="860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17</w:t>
            </w:r>
          </w:p>
        </w:tc>
        <w:tc>
          <w:tcPr>
            <w:tcW w:type="dxa" w:w="12372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Development of new Enhancements</w:t>
            </w:r>
          </w:p>
        </w:tc>
      </w:tr>
      <w:tr>
        <w:trPr>
          <w:trHeight w:hRule="exact" w:val="390"/>
        </w:trPr>
        <w:tc>
          <w:tcPr>
            <w:tcW w:type="dxa" w:w="860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18</w:t>
            </w:r>
          </w:p>
        </w:tc>
        <w:tc>
          <w:tcPr>
            <w:tcW w:type="dxa" w:w="12372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User Definition enhancement</w:t>
            </w:r>
          </w:p>
        </w:tc>
      </w:tr>
      <w:tr>
        <w:trPr>
          <w:trHeight w:hRule="exact" w:val="370"/>
        </w:trPr>
        <w:tc>
          <w:tcPr>
            <w:tcW w:type="dxa" w:w="860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19</w:t>
            </w:r>
          </w:p>
        </w:tc>
        <w:tc>
          <w:tcPr>
            <w:tcW w:type="dxa" w:w="12372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EE"/>
                <w:sz w:val="21"/>
                <w:u w:val="single"/>
              </w:rPr>
              <w:t>Sound IT Platform fully supporting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1440" w:bottom="1440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073"/>
        <w:gridCol w:w="3073"/>
        <w:gridCol w:w="3073"/>
        <w:gridCol w:w="3073"/>
        <w:gridCol w:w="3073"/>
      </w:tblGrid>
      <w:tr>
        <w:trPr>
          <w:trHeight w:hRule="exact" w:val="382"/>
        </w:trPr>
        <w:tc>
          <w:tcPr>
            <w:tcW w:type="dxa" w:w="15330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Improve IFMIS Governance environment</w:t>
            </w:r>
          </w:p>
        </w:tc>
      </w:tr>
      <w:tr>
        <w:trPr>
          <w:trHeight w:hRule="exact" w:val="1036"/>
        </w:trPr>
        <w:tc>
          <w:tcPr>
            <w:tcW w:type="dxa" w:w="404"/>
            <w:tcBorders>
              <w:start w:sz="5.600000000000023" w:val="single" w:color="#000000"/>
              <w:top w:sz="6.399999999999977" w:val="single" w:color="#000000"/>
              <w:end w:sz="5.600000000000023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3302"/>
            <w:tcBorders>
              <w:start w:sz="5.600000000000023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61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890"/>
            <w:tcBorders>
              <w:start w:sz="5.600000000000364" w:val="single" w:color="#000000"/>
              <w:top w:sz="6.399999999999977" w:val="single" w:color="#000000"/>
              <w:end w:sz="6.399999999999636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4694"/>
        </w:trPr>
        <w:tc>
          <w:tcPr>
            <w:tcW w:type="dxa" w:w="404"/>
            <w:tcBorders>
              <w:start w:sz="5.600000000000023" w:val="single" w:color="#000000"/>
              <w:top w:sz="6.399999999999977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5.1.1 </w:t>
            </w:r>
          </w:p>
        </w:tc>
        <w:tc>
          <w:tcPr>
            <w:tcW w:type="dxa" w:w="3302"/>
            <w:tcBorders>
              <w:start w:sz="5.600000000000023" w:val="single" w:color="#000000"/>
              <w:top w:sz="6.399999999999977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06" w:right="0" w:hanging="40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5.1.1 Review IFMIS IT Governance to ensure 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system is managed in line with best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practices and that the required internal controls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are in place. The vendor is expected to come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up with an optimized IT Governance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framework.</w:t>
            </w:r>
          </w:p>
        </w:tc>
        <w:tc>
          <w:tcPr>
            <w:tcW w:type="dxa" w:w="112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61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propose a comprehensive review of the IFMIS IT Governance structure, ensuring alignment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globally recognized best practices such as COBIT (Control Objectives for Information and Related Technologies) and ITIL (Information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Technology Infrastructure Library). Our approach includes evaluating current governance mechanisms to assess effectiveness in risk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management, compliance, and operational efficiency. CHC will design and implement an optimized IT Governance framework tailored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organization's unique needs, focusing on strengthening internal controls, enhancing decision-making processes, and ensuring continuous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improvement. This framework will also integrate security policies, performance management, and accountability measures to safeguard system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integrity and regulatory compliance.</w:t>
            </w:r>
          </w:p>
        </w:tc>
        <w:tc>
          <w:tcPr>
            <w:tcW w:type="dxa" w:w="1890"/>
            <w:tcBorders>
              <w:start w:sz="5.600000000000364" w:val="single" w:color="#000000"/>
              <w:top w:sz="6.399999999999977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IT Governance Risk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Compliance Framework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  <w:tr>
        <w:trPr>
          <w:trHeight w:hRule="exact" w:val="4136"/>
        </w:trPr>
        <w:tc>
          <w:tcPr>
            <w:tcW w:type="dxa" w:w="404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5.1.2 </w:t>
            </w:r>
          </w:p>
        </w:tc>
        <w:tc>
          <w:tcPr>
            <w:tcW w:type="dxa" w:w="330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06" w:right="0" w:hanging="40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5.1.2 IFMIS co-location plan developed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implemented for moving IFMIS servers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Government Data Centre, with a signed-off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document in place. The vendor is expected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design, develop and implement a co-location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plan for IFMIS.</w:t>
            </w:r>
          </w:p>
        </w:tc>
        <w:tc>
          <w:tcPr>
            <w:tcW w:type="dxa" w:w="112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61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CHC will develop a robust co-location plan to successfully migrate IFMIS servers to the Government Data Centre. Our approach begins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 thorough assessment of the current infrastructure to identify dependencies, data flow, and security requirements. The co-location plan will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designed to minimize downtime, ensure seamless transition, and maintain system integrity throughout the process. We will collaborate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key stakeholders to create a signed-off migration document that outlines critical stages, timelines, risk mitigation strategies, and contingency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plans. Our implementation will prioritize data security, compliance with government policies, and efficient use of resources, ensuring a smooth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migration with minimal disruption to IFMIS operations.</w:t>
            </w:r>
          </w:p>
        </w:tc>
        <w:tc>
          <w:tcPr>
            <w:tcW w:type="dxa" w:w="1890"/>
            <w:tcBorders>
              <w:start w:sz="5.600000000000364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Co-Location Plan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784" w:bottom="528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073"/>
        <w:gridCol w:w="3073"/>
        <w:gridCol w:w="3073"/>
        <w:gridCol w:w="3073"/>
        <w:gridCol w:w="3073"/>
      </w:tblGrid>
      <w:tr>
        <w:trPr>
          <w:trHeight w:hRule="exact" w:val="1934"/>
        </w:trPr>
        <w:tc>
          <w:tcPr>
            <w:tcW w:type="dxa" w:w="404"/>
            <w:tcBorders>
              <w:start w:sz="5.600000000000023" w:val="single" w:color="#000000"/>
              <w:top w:sz="5.599999999999994" w:val="single" w:color="#000000"/>
              <w:end w:sz="5.600000000000023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5.1.3 </w:t>
            </w:r>
          </w:p>
        </w:tc>
        <w:tc>
          <w:tcPr>
            <w:tcW w:type="dxa" w:w="3302"/>
            <w:tcBorders>
              <w:start w:sz="5.600000000000023" w:val="single" w:color="#000000"/>
              <w:top w:sz="5.599999999999994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Continuous upgrades being conducted for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IFMIS Database and Application. The vendor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is expected to ensure continuous IFMIS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upgrade.</w:t>
            </w:r>
          </w:p>
        </w:tc>
        <w:tc>
          <w:tcPr>
            <w:tcW w:type="dxa" w:w="1124"/>
            <w:tcBorders>
              <w:start w:sz="5.599999999999909" w:val="single" w:color="#000000"/>
              <w:top w:sz="5.599999999999994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610"/>
            <w:tcBorders>
              <w:start w:sz="6.400000000000091" w:val="single" w:color="#000000"/>
              <w:top w:sz="5.599999999999994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We are committed to ensuring that the IFMIS database and application are continuously upgraded to align with evolving technologies,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security standards, and operational needs. We will establish a proactive upgrade strategy that includes regular assessments of system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performance, security patches, and compatibility with new Oracle EBS features and functionalities.</w:t>
            </w:r>
          </w:p>
        </w:tc>
        <w:tc>
          <w:tcPr>
            <w:tcW w:type="dxa" w:w="1890"/>
            <w:tcBorders>
              <w:start w:sz="5.600000000000364" w:val="single" w:color="#000000"/>
              <w:top w:sz="5.599999999999994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Upgrade and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Optimization Section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Technical Proposal</w:t>
            </w:r>
          </w:p>
        </w:tc>
      </w:tr>
      <w:tr>
        <w:trPr>
          <w:trHeight w:hRule="exact" w:val="4156"/>
        </w:trPr>
        <w:tc>
          <w:tcPr>
            <w:tcW w:type="dxa" w:w="404"/>
            <w:tcBorders>
              <w:start w:sz="5.600000000000023" w:val="single" w:color="#000000"/>
              <w:top w:sz="6.399999999999977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5.1.4 </w:t>
            </w:r>
          </w:p>
        </w:tc>
        <w:tc>
          <w:tcPr>
            <w:tcW w:type="dxa" w:w="3302"/>
            <w:tcBorders>
              <w:start w:sz="5.600000000000023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06" w:right="0" w:hanging="40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5.1.4 In-Memory technology for BI analytics within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IFMIS and DBA activity monitoring being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continuously implemented for IFMIS.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vendor is expected to implement 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improvement and system Optimization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IFMIS application and database</w:t>
            </w:r>
          </w:p>
        </w:tc>
        <w:tc>
          <w:tcPr>
            <w:tcW w:type="dxa" w:w="112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61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CHC will implement cutting-edge in-memory technology to enhance Business Intelligence (BI) analytics within IFMIS, enabling faster data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processing and real-time insights. By leveraging Oracle's in-memory capabilities, we will significantly improve query performance, reporting,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data analysis, empowering decision-makers with timely and actionable information. In addition, CHC will implement continuous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monitoring of database administration (DBA) activities to ensure optimal performance and system efficiency. Our approach includes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performance tuning, proactive identification of potential bottlenecks, and the deployment of automated monitoring tools to ensure smooth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operation of both the application and the database.</w:t>
            </w:r>
          </w:p>
        </w:tc>
        <w:tc>
          <w:tcPr>
            <w:tcW w:type="dxa" w:w="1890"/>
            <w:tcBorders>
              <w:start w:sz="5.600000000000364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Upgrade and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Optimization Section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Technical Proposal</w:t>
            </w:r>
          </w:p>
        </w:tc>
      </w:tr>
      <w:tr>
        <w:trPr>
          <w:trHeight w:hRule="exact" w:val="4404"/>
        </w:trPr>
        <w:tc>
          <w:tcPr>
            <w:tcW w:type="dxa" w:w="404"/>
            <w:tcBorders>
              <w:start w:sz="5.600000000000023" w:val="single" w:color="#000000"/>
              <w:top w:sz="6.400000000000091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5.1.5 </w:t>
            </w:r>
          </w:p>
        </w:tc>
        <w:tc>
          <w:tcPr>
            <w:tcW w:type="dxa" w:w="330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245" w:lineRule="auto" w:before="4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5.1.5 Data protection implementation in all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cloned and training environments of IFMIS.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vendor is expected to implement data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protection for all cloned environment and data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at rest.</w:t>
            </w:r>
          </w:p>
        </w:tc>
        <w:tc>
          <w:tcPr>
            <w:tcW w:type="dxa" w:w="112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61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CHC will implement comprehensive data protection measures for all cloned and training environments within IFMIS, ensuring compliance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with industry standards and government regulations. Our approach includes encrypting data at rest and in transit, deploying access controls,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ensuring anonymization of sensitive information in non-production environments to prevent unauthorized access and data breaches. CHC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will establish a framework for data masking and redaction in cloned environments to safeguard personal and financial information while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maintaining the integrity of the training environment. We will also implement continuous monitoring and auditing of data security protocols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to ensure adherence to best practices, providing secure, reliable environments for development, testing, and training purposes.</w:t>
            </w:r>
          </w:p>
        </w:tc>
        <w:tc>
          <w:tcPr>
            <w:tcW w:type="dxa" w:w="1890"/>
            <w:tcBorders>
              <w:start w:sz="5.600000000000364" w:val="single" w:color="#000000"/>
              <w:top w:sz="6.400000000000091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Data Protection Plan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784" w:bottom="400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073"/>
        <w:gridCol w:w="3073"/>
        <w:gridCol w:w="3073"/>
        <w:gridCol w:w="3073"/>
        <w:gridCol w:w="3073"/>
      </w:tblGrid>
      <w:tr>
        <w:trPr>
          <w:trHeight w:hRule="exact" w:val="4426"/>
        </w:trPr>
        <w:tc>
          <w:tcPr>
            <w:tcW w:type="dxa" w:w="404"/>
            <w:tcBorders>
              <w:start w:sz="5.600000000000023" w:val="single" w:color="#000000"/>
              <w:top w:sz="5.59999999999999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5.1.6 </w:t>
            </w:r>
          </w:p>
        </w:tc>
        <w:tc>
          <w:tcPr>
            <w:tcW w:type="dxa" w:w="3302"/>
            <w:tcBorders>
              <w:start w:sz="5.600000000000023" w:val="single" w:color="#000000"/>
              <w:top w:sz="5.59999999999999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06" w:right="0" w:hanging="40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5.1.6 Standard system integration API developed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facilitate integration of State Corporations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systems with IFMIS, GHRIS, Pensions, or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systems, with at least 10 integrations per year.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vendor is expected to develop atleast 10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integrations per year.</w:t>
            </w:r>
          </w:p>
        </w:tc>
        <w:tc>
          <w:tcPr>
            <w:tcW w:type="dxa" w:w="1124"/>
            <w:tcBorders>
              <w:start w:sz="5.599999999999909" w:val="single" w:color="#000000"/>
              <w:top w:sz="5.59999999999999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610"/>
            <w:tcBorders>
              <w:start w:sz="6.400000000000091" w:val="single" w:color="#000000"/>
              <w:top w:sz="5.59999999999999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develop a robust and standardized system integration API to facilitate seamless integration between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IFMIS, GHRIS, Pensions, and other State Corporation systems. Our integration approach is built on best practices for API design, ensuring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security, scalability, and flexibility to meet diverse system requirements. By using RESTful or SOAP-based APIs, we will enable efficient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data exchange and communication between the systems, enhancing operational efficiency and interoperability.CHC is committed to delivering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at least 10 system integrations per year, adhering to strict timelines and quality standards. We will provide comprehensive documentation,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testing, and support to ensure that each integration is smooth, secure, and aligned with the organization’s overall IT strategy.</w:t>
            </w:r>
          </w:p>
        </w:tc>
        <w:tc>
          <w:tcPr>
            <w:tcW w:type="dxa" w:w="1890"/>
            <w:tcBorders>
              <w:start w:sz="5.600000000000364" w:val="single" w:color="#000000"/>
              <w:top w:sz="5.59999999999999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Integration Plan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  <w:tr>
        <w:trPr>
          <w:trHeight w:hRule="exact" w:val="272"/>
        </w:trPr>
        <w:tc>
          <w:tcPr>
            <w:tcW w:type="dxa" w:w="13440"/>
            <w:gridSpan w:val="4"/>
            <w:tcBorders>
              <w:top w:sz="5.599999999999909" w:val="single" w:color="#000000"/>
              <w:end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90"/>
            <w:tcBorders>
              <w:start w:sz="5.600000000000364" w:val="single" w:color="#000000"/>
              <w:top w:sz="5.599999999999909" w:val="single" w:color="#000000"/>
              <w:end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784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073"/>
        <w:gridCol w:w="3073"/>
        <w:gridCol w:w="3073"/>
        <w:gridCol w:w="3073"/>
        <w:gridCol w:w="3073"/>
      </w:tblGrid>
      <w:tr>
        <w:trPr>
          <w:trHeight w:hRule="exact" w:val="382"/>
        </w:trPr>
        <w:tc>
          <w:tcPr>
            <w:tcW w:type="dxa" w:w="15330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Generation of standardized, accurate and timely financial statements in IFMIS</w:t>
            </w:r>
          </w:p>
        </w:tc>
      </w:tr>
      <w:tr>
        <w:trPr>
          <w:trHeight w:hRule="exact" w:val="1036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5234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70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50"/>
            <w:tcBorders>
              <w:start w:sz="5.600000000000364" w:val="single" w:color="#000000"/>
              <w:top w:sz="6.399999999999977" w:val="single" w:color="#000000"/>
              <w:end w:sz="6.399999999999636" w:val="single" w:color="#000000"/>
              <w:bottom w:sz="6.399999999999977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5784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34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IFMIS General Ledger module has been implemented to support the effective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recording of transactional data for all sub ledgers, including updating and maintaining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general ledger, reconciling sub-ledgers, and closing books. To align with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strategic objectives, this assignment requires a comprehensive review of report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configurations to ensure the generation of IPSAS-approved reports. Additionally,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IFMIS financial reporting to be enhanced by improving reporting templates to meet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IPSAS formats, implementing project reporting, developing KPI dashboards,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enhancing pending bills reporting templates, and creating dashboard.</w:t>
            </w:r>
          </w:p>
        </w:tc>
        <w:tc>
          <w:tcPr>
            <w:tcW w:type="dxa" w:w="112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70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conduct a comprehensive review of the current report configurations within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IFMIS General Ledger module to ensure full compliance with the International Public Sector Accounting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Standards (IPSAS). Our approach includes aligning financial reporting processes with IPSAS formats, optimizing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report generation, and improving accuracy in reconciling sub-ledgers and closing books. To further enhance financial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reporting, CHC will develop customized templates for project reporting, pending bills, and KPI dashboards. These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enhancements will provide real-time insights into key financial metrics, ensuring transparency and informed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decision-making. We will also create interactive dashboards to present complex data in a user-friendly format,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allowing for efficient tracking of financial performance and alignment with the organization’s strategic objectives.</w:t>
            </w:r>
          </w:p>
        </w:tc>
        <w:tc>
          <w:tcPr>
            <w:tcW w:type="dxa" w:w="1650"/>
            <w:tcBorders>
              <w:start w:sz="5.600000000000364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Oracle General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Ledger Section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Technical Proposal 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784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Implement Digital signatures and Bar-coding/QR code for documents generated in IFMIS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4410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7980"/>
            <w:tcBorders>
              <w:start w:sz="5.599999999999909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80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2172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10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Barcoding for all IFMIS documents through use of QR codes.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Requirement to be provided for the reports to be affected. The vendor 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expected to implement QR Coding for IFMIS documents</w:t>
            </w:r>
          </w:p>
        </w:tc>
        <w:tc>
          <w:tcPr>
            <w:tcW w:type="dxa" w:w="1124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7980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implement a comprehensive QR coding system for all IFMIS documents to streamline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document management and enhance traceability. Our approach involves integrating QR code generation within the existing IFMIS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workflow, ensuring that each document is uniquely identifiable and easily accessible.</w:t>
            </w:r>
          </w:p>
        </w:tc>
        <w:tc>
          <w:tcPr>
            <w:tcW w:type="dxa" w:w="1680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Document Barcoding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Plan 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  <w:tr>
        <w:trPr>
          <w:trHeight w:hRule="exact" w:val="6326"/>
        </w:trPr>
        <w:tc>
          <w:tcPr>
            <w:tcW w:type="dxa" w:w="270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Implement Document Signing for IFMIS with integration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NPKI provided by ICTA for the following documents using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digital signatures. a) Procurement Documents b) Internal 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Purchase Orders c) External-Tender Submission d) Financial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Statement e) Exchequer approval Documents Page 117 of 203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f) Payment Advice for Debt settlement and foreign currencies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remittances The vendor is expected to design and implement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NPKI integration with GovCA system for document signing.</w:t>
            </w:r>
          </w:p>
        </w:tc>
        <w:tc>
          <w:tcPr>
            <w:tcW w:type="dxa" w:w="112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798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Counterhouse Consultants (CHC) will implement a secure document signing solution for IFMIS, integrating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National Public Key Infrastructure (NPKI) provided by ICTA to facilitate digital signatures for critical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documents, including procurement documents, internal purchase orders, external tender submissions, financial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statements, exchequer approval documents, and payment advice for debt settlement and foreign currency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remittances. Our approach will involve designing a seamless integration with the GovCA system to ensure secure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and efficient signing processes. We will conduct a thorough assessment of existing workflows to determine the best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method for incorporating digital signatures while ensuring compliance with relevant regulations and standards.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Training sessions will be provided for relevant personnel to ensure successful adoption of the new system,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enhancing the overall security and integrity of document management within IFMIS.</w:t>
            </w:r>
          </w:p>
        </w:tc>
        <w:tc>
          <w:tcPr>
            <w:tcW w:type="dxa" w:w="1680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Integration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Plan 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016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4884"/>
        </w:trPr>
        <w:tc>
          <w:tcPr>
            <w:tcW w:type="dxa" w:w="270"/>
            <w:tcBorders>
              <w:start w:sz="5.600000000000023" w:val="single" w:color="#000000"/>
              <w:top w:sz="5.59999999999999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10"/>
            <w:tcBorders>
              <w:start w:sz="6.399999999999977" w:val="single" w:color="#000000"/>
              <w:top w:sz="5.59999999999999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Authentication of Internal and External Users using NPKI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integration framework for authentication, this includes: - a.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Virtual Private Network Access for all users b. Multifactor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authentication to IFMIS systems The vendor is expected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develop integration architecture between IFMIS and GovCA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system for authenticating users to IFMIS using multifactor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authentication.</w:t>
            </w:r>
          </w:p>
        </w:tc>
        <w:tc>
          <w:tcPr>
            <w:tcW w:type="dxa" w:w="1124"/>
            <w:tcBorders>
              <w:start w:sz="5.599999999999909" w:val="single" w:color="#000000"/>
              <w:top w:sz="5.59999999999999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7980"/>
            <w:tcBorders>
              <w:start w:sz="5.599999999999909" w:val="single" w:color="#000000"/>
              <w:top w:sz="5.59999999999999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Counterhouse Consultants (CHC) will implement a robust user authentication solution for IFMIS, leveraging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NPKI integration framework to ensure secure access for both internal and external users. Our approach includes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developing a comprehensive integration architecture between IFMIS and the GovCA system, enabling multifactor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authentication (MFA) to enhance security and reduce the risk of unauthorized access. The solution will encompass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Virtual Private Network (VPN) access for all users, ensuring that data transmission remains secure and confidential.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We will implement MFA protocols, requiring users to verify their identity through multiple means before gaining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access to IFMIS systems.</w:t>
            </w:r>
          </w:p>
        </w:tc>
        <w:tc>
          <w:tcPr>
            <w:tcW w:type="dxa" w:w="1680"/>
            <w:tcBorders>
              <w:start w:sz="5.600000000000364" w:val="single" w:color="#000000"/>
              <w:top w:sz="5.59999999999999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Integration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Plan 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eProcurement enhancements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3720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32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2024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578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20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This enhancement in IFMIS has been developed using Oracle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Application Framework (OAF), currently covering only five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commonly used procurement methods. The vendor 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expected to support OAF technology in IFMIS incase there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are any changes or improvements to be made in the system</w:t>
            </w:r>
          </w:p>
        </w:tc>
        <w:tc>
          <w:tcPr>
            <w:tcW w:type="dxa" w:w="1124"/>
            <w:tcBorders>
              <w:start w:sz="6.400000000000091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32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provide comprehensive support for the Oracle Application Framework (OAF) technology used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IFMIS eProcurement module. Our team has extensive experience with OAF, and we are fully equipped to assist with any changes 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enhancements required to improve the system's functionality. We will ensure that the enhancements remain aligned with the current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business processes while supporting the five commonly used procurement methods. CHC will also conduct a thorough analysis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system to identify potential areas for improvement and will ensure timely and efficient implementation of any necessary modifications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the OAF-based eProcurement functionalities within IFMIS.</w:t>
            </w:r>
          </w:p>
        </w:tc>
        <w:tc>
          <w:tcPr>
            <w:tcW w:type="dxa" w:w="2024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Oracle Application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Development Framework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Section of Technical Proposal.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Document Management system (DMS)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4770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7636"/>
            <w:tcBorders>
              <w:start w:sz="5.599999999999909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64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5228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70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bidder shall therefore develop an integrated IFMIS Document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Management System to provide a centralized platform for managing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organizing various documents to enhance collaboration, streamline business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processes, and improve overall efficiency by offering efficient document Storage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and Organization. Specifically, IFMIS intends to fully utilize the Oracle Web-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center to manage electronic documents. The vendor shall be responsible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implementing it with approval workflows for all electronic documents.</w:t>
            </w:r>
          </w:p>
        </w:tc>
        <w:tc>
          <w:tcPr>
            <w:tcW w:type="dxa" w:w="1124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7636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 meet the requirement for an integrated IFMIS Document Management System, CHC will leverage Oracle WebCenter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core platform to manage and store electronic documents. Oracle WebCenter is equipped with robust features for document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management, such as version control, secure access, and seamless collaboration across teams. Our approach will include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configuring approval workflows that can be customized for various types of documents, ensuring that documents pass through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necessary authorization stages before being finalized. We will implement this solution with role-based access controls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ensure secure handling of documents and provide tools for efficient storage and retrieval. The system will be fully integrated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with IFMIS, streamlining business processes, improving efficiency, and ensuring all electronic documents are centrally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organized and accessible as needed.</w:t>
            </w:r>
          </w:p>
        </w:tc>
        <w:tc>
          <w:tcPr>
            <w:tcW w:type="dxa" w:w="1664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Oracle WebCenter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 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Develop Framework for Governance Risk Compliance (GRC)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3856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580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3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818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56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Incorporating GRC principles into IFMIS will provide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comprehensive approach to managing financial operations,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risks, and compliance. This is envisioned to safeguard public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resources, enhance accountability, and Page 118 of 203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contribute to efficient and effective financial management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practices, ultimately benefiting citizens and the overall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functioning of the government. The bidder is expected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propose and design and implement mechanism for enhancing:-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a) Application Access Controls b) Transaction Controls c)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Configuration Controls d) Preventive Controls</w:t>
            </w:r>
          </w:p>
        </w:tc>
        <w:tc>
          <w:tcPr>
            <w:tcW w:type="dxa" w:w="1124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580"/>
            <w:tcBorders>
              <w:start w:sz="6.400000000000091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CHC will propose, design, and implement a robust framework for integrating Governance, Risk, and Compliance (GRC) principles into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IFMIS. This comprehensive approach will enhance the management of financial operations, risks, and compliance, safeguarding public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resources and promoting accountability within the government. Our implementation will focus on enhancing the following key control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mechanisms: a) Application Access Controls: We will establish stringent access controls to ensure that only authorized personnel can access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sensitive financial information, reducing the risk of data breaches and ensuring compliance with regulatory requirements. b) Transaction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Controls: CHC will implement transaction monitoring systems to detect and prevent unauthorized transactions, ensuring that all financial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activities are conducted in accordance with established policies and procedures. c) Configuration Controls: We will develop and enforce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configuration management processes to maintain the integrity and security of the IFMIS system, ensuring that all configurations are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documented, reviewed, and approved. d) Preventive Controls: Our approach will include the implementation of preventive measures, such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automated alerts and exception reporting, to proactively identify and mitigate potential risks before they impact operations. By embedding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GRC principles into IFMIS, CHC aims to enhance the overall effectiveness of financial management practices, ultimately benefiting citizens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and improving the efficiency of government operations.</w:t>
            </w:r>
          </w:p>
        </w:tc>
        <w:tc>
          <w:tcPr>
            <w:tcW w:type="dxa" w:w="1634"/>
            <w:tcBorders>
              <w:start w:sz="6.399999999999636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IT Governance Risk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Compliance Framework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172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Rollout, support, and training of solutions under pilot to all MDAs and Counties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400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6"/>
            <w:tcBorders>
              <w:start w:sz="6.400000000000091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250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81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818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4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IFMIS department has implemented new modules which are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currently in pilot phase and plans to roll out modules to all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MDAs and counties. The modules include but not limited to: - 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Fixed Asset Rollout and development of asset templates as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when need arises for new asset type the government plans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acquire. b) Inventory Management rollout and Enhancements. c)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Exchequer process Automation and Enhancements. d) Roll out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Oracle Analytic dashboard and development of new dashboards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when need arises The bidder is expected to support all new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enhancement that have been rolled out and resolve any technical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issues that may arise</w:t>
            </w:r>
          </w:p>
        </w:tc>
        <w:tc>
          <w:tcPr>
            <w:tcW w:type="dxa" w:w="1126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250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CHC is committed to providing comprehensive support for the new IFMIS modules currently in the pilot phase, ensuring a seamless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rollout to all MDAs and counties. Our expertise spans key areas of module implementation, including Fixed Asset Management,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Inventory Management, Exchequer Process Automation, and Oracle Analytic Dashboards, with a focus on providing timely technical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assistance and resolving any issues that may arise. CHC will offer full support for the following: a) Fixed Asset Rollout: We will assist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 the development and customization of asset templates for new asset types as required by the government, ensuring accurate tracking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management of government assets. b) Inventory Management Rollout: Our team will provide support for enhancements in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Inventory Management module, optimizing stock control and inventory processes across all departments and counties. c) Exchequer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Process Automation: CHC will ensure the smooth automation of exchequer processes, addressing any technical challenges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enhancing the system’s efficiency for financial transactions. d) Oracle Analytic Dashboards: We will facilitate the rollout of Oracle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Analytic Dashboards, developing new dashboards as required to provide insightful, real-time data for decision-making. In addition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providing ongoing support, CHC will proactively resolve technical issues, minimizing downtime and ensuring that the new modules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function optimally across all users in the government sector.</w:t>
            </w:r>
          </w:p>
        </w:tc>
        <w:tc>
          <w:tcPr>
            <w:tcW w:type="dxa" w:w="1814"/>
            <w:tcBorders>
              <w:start w:sz="6.399999999999636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Training Plan,Go-Live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and Rollout Plan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Technical Support Service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Plan Sections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172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Re-engineer existing processes to achieve efficiency and resolve issues.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4830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7516"/>
            <w:tcBorders>
              <w:start w:sz="5.599999999999909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724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605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30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Bank Reconciliation integration with CBK implemented using MT940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technology has been unstable with cases of duplicated statements and missed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statements. The bidder is expected to conduct a technical review of the current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setup and redevelop the integration to work correctly with alerting mechanism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for failed processes to make it easy to proactively resolve issues.</w:t>
            </w:r>
          </w:p>
        </w:tc>
        <w:tc>
          <w:tcPr>
            <w:tcW w:type="dxa" w:w="1124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7516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conduct a comprehensive technical review of the current Bank Reconciliation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integration with the Central Bank of Kenya (CBK) using MT940 technology. Our objective is to identify the root causes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instability, including issues with duplicated and missed statements, and redevelop the integration to ensure smooth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reliable operations. CHC will implement a robust solution that includes: Stable MT940 Integration: We will redevelop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integration to eliminate duplication and ensure that all bank statements are captured accurately. Our approach will optimize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data flow between IFMIS and CBK, ensuring that the reconciliation process is both efficient and error-free. Proactive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Alerting Mechanism: To improve monitoring and issue resolution, we will introduce an alerting system that detects failed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processes in real-time. This will enable the IFMIS team to address issues proactively, minimizing downtime and ensuring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timely resolution of any disruptions in the reconciliation process.</w:t>
            </w:r>
          </w:p>
        </w:tc>
        <w:tc>
          <w:tcPr>
            <w:tcW w:type="dxa" w:w="1724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Re-engineering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Plan 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6340"/>
        </w:trPr>
        <w:tc>
          <w:tcPr>
            <w:tcW w:type="dxa" w:w="270"/>
            <w:tcBorders>
              <w:start w:sz="5.600000000000023" w:val="single" w:color="#000000"/>
              <w:top w:sz="5.59999999999999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30"/>
            <w:tcBorders>
              <w:start w:sz="6.399999999999977" w:val="single" w:color="#000000"/>
              <w:top w:sz="5.59999999999999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Uploading of invoices and delivery notes by suppliers, as well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certificates of completion for works, was developed using Oracle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Application Framework (OAF) and customized to align with existing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procurement regulations. This involved customizing the Advanced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Shipment Notices (ASN) workflows to implement goods acceptance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and approval processes, as well as linking the invoicing processes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with goods acceptance. However, this configuration has encountered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several long-standing issues. The Page 119 of 203 bidder will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expected to conduct a thorough technical review and redevelopment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and address any gaps to ensure proper functionality</w:t>
            </w:r>
          </w:p>
        </w:tc>
        <w:tc>
          <w:tcPr>
            <w:tcW w:type="dxa" w:w="1124"/>
            <w:tcBorders>
              <w:start w:sz="5.599999999999909" w:val="single" w:color="#000000"/>
              <w:top w:sz="5.59999999999999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7516"/>
            <w:tcBorders>
              <w:start w:sz="5.599999999999909" w:val="single" w:color="#000000"/>
              <w:top w:sz="5.59999999999999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ounterhouse Consultants (CHC) will conduct a comprehensive technical review of the existing invoice and delivery note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uploading system, developed using Oracle Application Framework (OAF) and customized for compliance with procurement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regulations. We recognize the critical importance of this system in streamlining supplier interactions and ensuring alignment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between goods acceptance, invoicing, and approval processes. Our approach will involve: Technical Review and Gap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Analysis: We will perform an in-depth analysis of the Advanced Shipment Notices (ASN) workflows, goods acceptance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processes, and the integration with invoicing. This will identify the root causes of the long-standing issues and any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misalignments with procurement regulations. System Redevelopment: Based on the findings, CHC will redevelop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affected components to resolve all gaps and ensure seamless functionality. Our redevelopment efforts will enhance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efficiency of the goods acceptance and invoicing processes, ensuring that workflows are properly configured and aligned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government procurement requirements.</w:t>
            </w:r>
          </w:p>
        </w:tc>
        <w:tc>
          <w:tcPr>
            <w:tcW w:type="dxa" w:w="1724"/>
            <w:tcBorders>
              <w:start w:sz="5.600000000000364" w:val="single" w:color="#000000"/>
              <w:top w:sz="5.59999999999999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Re-engineering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and Enhancement Plan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Design, Implementation, and rollout of new solutions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400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6"/>
            <w:tcBorders>
              <w:start w:sz="6.400000000000091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370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9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689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4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 line with government policy on digitization the following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modules are required to be developed and integrated within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IFMIS system for the purposes of recognizing budget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expenditure for the tasks they will be designed to perform. d)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Enterprise asset management for management of fixed assets e)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Imprest and Employee Claims management f) Integration of Fixed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Assets with procurement process to auto updates fixed asset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register. The vendor is expected to implement enhancements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new processes to support Fixed asset processes and employee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claims settlement.</w:t>
            </w:r>
          </w:p>
        </w:tc>
        <w:tc>
          <w:tcPr>
            <w:tcW w:type="dxa" w:w="1126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370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implement the required enhancements within IFMIS to support new processes for managing fixed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assets and employee claims, aligning with the government's digitization policy. Our solution will focus on developing and integrating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following modules: Enterprise Asset Management: CHC will implement an enterprise asset management module that provides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comprehensive management of fixed assets. This will enable efficient tracking, maintenance, and depreciation of government assets while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ensuring compliance with financial reporting standards. Imprest and Employee Claims Management: We will develop a module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managing imprest and employee claims, streamlining the process from request to settlement. This will improve accountability,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transparency, and efficiency in handling employee claims and advances. Integration of Fixed Assets with Procurement: CHC will integrate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fixed assets module with the procurement process to ensure automatic updates to the fixed asset register when new assets are acquired.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This integration will enhance accuracy in asset management and ensure seamless updates across related processes. Our enhancements will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ensure that IFMIS is fully equipped to support these new processes, improving overall efficiency and ensuring compliance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government policies.</w:t>
            </w:r>
          </w:p>
        </w:tc>
        <w:tc>
          <w:tcPr>
            <w:tcW w:type="dxa" w:w="1694"/>
            <w:tcBorders>
              <w:start w:sz="6.399999999999636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See System Re-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engineering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Enhancement Plan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Technology Enhancements on the current processes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3840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37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860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605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40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a) Implementation of Oracle e-Business suite Mobile APPs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approvals, inventory management and requisition processes. 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Conversion of existing Oracle forms to OAF for use on self-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service pages which are easier to use and train. The bidder 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expected to implement Mobile APPs and convert existing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forms to OAF to ensure most forms in IFMIS are self-service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pages.</w:t>
            </w:r>
          </w:p>
        </w:tc>
        <w:tc>
          <w:tcPr>
            <w:tcW w:type="dxa" w:w="1124"/>
            <w:tcBorders>
              <w:start w:sz="6.400000000000091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370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support the implementation of Oracle e-Business Suite mobile apps and the conversion of existing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Oracle Forms to Oracle Application Framework (OAF) to enhance the usability and accessibility of IFMIS. a) Oracle e-Business Suite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Mobile Apps: CHC will implement mobile apps for key processes such as approvals, inventory management, and requisitions. These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mobile apps will provide government personnel with real-time access to critical workflows, enabling faster decision-making and improving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operational efficiency across MDAs and counties. b) Conversion of Oracle Forms to OAF: We will convert existing Oracle forms to OAF,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enabling them to function as self-service pages. This transition will simplify the user experience, making the system easier to use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reducing training requirements. OAF-based self-service pages are also more accessible, flexible, and adaptable to evolving government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needs.</w:t>
            </w:r>
          </w:p>
        </w:tc>
        <w:tc>
          <w:tcPr>
            <w:tcW w:type="dxa" w:w="1860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Re-engineering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and Enhancement Plan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Integration of Oracle APEX to IFMIS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3240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9196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3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689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Integrate Oracle APEX with IFMIS to establish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rapid application development framework, facilitating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creation of customized applications without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need for extensive coding. The bidder is expected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implement oracle APEX as a rapid application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development tool for new custom modules</w:t>
            </w:r>
          </w:p>
        </w:tc>
        <w:tc>
          <w:tcPr>
            <w:tcW w:type="dxa" w:w="1124"/>
            <w:tcBorders>
              <w:start w:sz="6.400000000000091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9196"/>
            <w:tcBorders>
              <w:start w:sz="6.400000000000091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implement Oracle APEX as a rapid application development framework within IFMIS, enabling the government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 create customized modules with minimal coding. This integration will significantly enhance the agility of the IFMIS platform by providing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flexible, low-code environment for developing new applications tailored to evolving government needs. By leveraging Oracle APEX, CHC will: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Accelerate Custom Module Development: Oracle APEX will allow for the quick creation of user-friendly, scalable applications, reducing development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time while ensuring the robustness of each module. Enhance Customization: APEX’s flexibility will enable the development of customized applications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that align with specific government processes, ensuring that IFMIS can adapt to future requirements with ease. Our approach will empower IFMIS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 dynamic tool for ongoing improvements and customizations, fostering efficiency and innovation within government operations.</w:t>
            </w:r>
          </w:p>
        </w:tc>
        <w:tc>
          <w:tcPr>
            <w:tcW w:type="dxa" w:w="1634"/>
            <w:tcBorders>
              <w:start w:sz="6.399999999999636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Oracle Apex Section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of Technical Proposal.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Implementation of Oracle Analytics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286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6.400000000000091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951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9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6338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4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To modernize the analytics and provide a user-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centric platform IFMIS needs to migrate from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Oracle Business Intelligence Enterprise Edition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(OBIEE) to Oracle Analytics. The bidder 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expected to migrate OBIEE to Oracle Analytics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and conduct user training for Oracle Analytics.</w:t>
            </w:r>
          </w:p>
        </w:tc>
        <w:tc>
          <w:tcPr>
            <w:tcW w:type="dxa" w:w="1124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9512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manage the migration of IFMIS from Oracle Business Intelligence Enterprise Edition (OBIEE) to Oracle Analytics,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ensuring a smooth transition to a modern, user-centric analytics platform. This migration will enhance the government’s ability to access real-time data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insights, improve decision-making, and deliver more intuitive analytics experiences. Our approach will include: Seamless Migration: CHC will conduct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thorough assessment of the current OBIEE setup and carefully plan the migration to Oracle Analytics, ensuring that all reports, dashboards, and data models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are accurately transferred without disruption to ongoing operations. User Training: To maximize the benefits of Oracle Analytics, CHC will provide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comprehensive user training, equipping government staff with the skills needed to leverage the platform’s advanced capabilities, including data visualization,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self-service analytics, and AI-powered insights. Our solution will empower IFMIS with cutting-edge analytics capabilities, enhancing the platform’s overall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effectiveness and improving data-driven decision-making across government operations.</w:t>
            </w:r>
          </w:p>
        </w:tc>
        <w:tc>
          <w:tcPr>
            <w:tcW w:type="dxa" w:w="1694"/>
            <w:tcBorders>
              <w:start w:sz="6.399999999999636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Oracle Analytics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Server Section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Technical 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Switch from IFMIS e-procurement to EGP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5040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7276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75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467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40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While IFMIS has been extensively used for automating e-procurement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processes, the government is currently rolling out an end-to​end e-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Procurement System (e-GP). This system aligns with the PPAD Act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2015 and the 2020 procurement regulations. To ensure seamless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integration of the e-GP system with IFMIS while maintaining financial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reporting integrity, several integration points have been identified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development. The consultant will be expected to finalize the integration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requirements and support the required APIS, enhance system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maintain controls after migration of e-Procurement to e-GP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conduct UATs with relevant users to ensure seamless integration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developed component</w:t>
            </w:r>
          </w:p>
        </w:tc>
        <w:tc>
          <w:tcPr>
            <w:tcW w:type="dxa" w:w="1124"/>
            <w:tcBorders>
              <w:start w:sz="6.400000000000091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7276"/>
            <w:tcBorders>
              <w:start w:sz="6.400000000000091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support the seamless integration of the government’s end-to-end e-Procurement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System (e-GP), aligned with the PPAD Act of 2015 and 2020 procurement regulations, with IFMIS. Our goal is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maintain financial reporting integrity and ensure smooth operations during and after the migration of e-Procurement to e-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GP. Our approach will include: Finalizing Integration Requirements: CHC will work closely with stakeholders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finalize the integration points between e-GP and IFMIS. This includes defining the necessary APIs and ensuring that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integration supports key financial reporting and procurement workflows. System Enhancements and Controls: We will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enhance the IFMIS system to maintain existing internal controls during and after the e-Procurement migration, ensuring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that financial reporting remains accurate and secure throughout the process. User Acceptance Testing (UAT): CHC will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conduct thorough UATs with relevant users to validate the integration, ensuring that the developed components function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seamlessly and meet operational requirements.</w:t>
            </w:r>
          </w:p>
        </w:tc>
        <w:tc>
          <w:tcPr>
            <w:tcW w:type="dxa" w:w="1754"/>
            <w:tcBorders>
              <w:start w:sz="6.399999999999636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Integration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Plan and Data Migration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Plan Sections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Enhancements of Pending Bills management processes in IFMIS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374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536"/>
            <w:tcBorders>
              <w:start w:sz="5.599999999999909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784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716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pending bills process involves processing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unsettled payments in previous financial periods this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has been implemented in IFMIS, however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Enhancements are required to improve the process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and make it more efficient. The consultant will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required to collect requirements for enhancement,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design and implement the proposed enhancements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from pending bill creation, approvals to payment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settlement.</w:t>
            </w:r>
          </w:p>
        </w:tc>
        <w:tc>
          <w:tcPr>
            <w:tcW w:type="dxa" w:w="1126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536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enhance the existing pending bills process in IFMIS to improve its efficiency and streamline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management of unsettled payments from previous financial periods. Our approach will ensure the process is optimized from the creation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pending bills through to approval and final payment settlement. Key steps in our solution include: Requirements Gathering: CHC will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engage relevant stakeholders to collect detailed requirements for the enhancements needed in the pending bills process. This will ensure 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system improvements align with user expectations and operational needs. Design and Implementation: Based on the gathered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requirements, CHC will design and implement enhancements to streamline the workflow for creating, approving, and settling pending bills.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Our goal is to reduce processing times and ensure that payment settlements are handled with greater efficiency. Our solution will deliver 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optimized pending bills process that improves financial management within IFMIS and enhances transparency in the handling of unsettled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payments.</w:t>
            </w:r>
          </w:p>
        </w:tc>
        <w:tc>
          <w:tcPr>
            <w:tcW w:type="dxa" w:w="1784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Re-engineering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and Enhancement Plan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Cash Management Enhancements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404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326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9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743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4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consultant will be required to implement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Enhancements to resolve issues in cash management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processes these include. q) Re-configure the SOA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integration with CBK to ensure statements are received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are complete. r) Develop exceptional reports to show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flow of bank statements up to reconciliation. s) Re check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reconciliation process to automate the loading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statements in bulk t) Development of reports to support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accrual-based accounting and budget absorption u)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Development of reports as stipulated by PSASB and COB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from time to time</w:t>
            </w:r>
          </w:p>
        </w:tc>
        <w:tc>
          <w:tcPr>
            <w:tcW w:type="dxa" w:w="1126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326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will implement essential enhancements to the cash management processes within IFMIS to address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resolve existing issues. Our key actions will include: Reconfiguring SOA Integration: We will reconfigure the Service-Oriented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Architecture (SOA) integration with the Central Bank of Kenya (CBK) to ensure that all received bank statements are complete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accurate, maintaining data integrity for effective reconciliation. Developing Exceptional Reports: CHC will create exceptional reports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detail the flow of bank statements leading up to the reconciliation stage, enhancing transparency in cash management activities.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Automating Reconciliation Process: We will review the reconciliation process to automate the bulk loading of bank statements,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significantly reducing manual intervention and potential errors. Supporting Accrual-Based Accounting: We will develop reports 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support accrual-based accounting and budget absorption, ensuring compliance with financial reporting standards. Meeting Reporting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Requirements: Lastly, CHC will establish a framework to develop reports as required by the Public Sector Accounting Standards Board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(PSASB) and the Controller of Budget (COB) as needed. These enhancements will streamline cash management processes and strengthen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financial controls within IFMIS.</w:t>
            </w:r>
          </w:p>
        </w:tc>
        <w:tc>
          <w:tcPr>
            <w:tcW w:type="dxa" w:w="1694"/>
            <w:tcBorders>
              <w:start w:sz="6.399999999999636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See System Re-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engineering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Enhancement Plan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Integration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232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6.400000000000091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1005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9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6608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4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IFMIS is envisioned to integrate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with other government systems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through standard Page 121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203 integration mechanism.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bidder shall be required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develop atleast 10 integrations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every year.</w:t>
            </w:r>
          </w:p>
        </w:tc>
        <w:tc>
          <w:tcPr>
            <w:tcW w:type="dxa" w:w="1124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10052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is dedicated to enhancing the functionality of IFMIS by enabling seamless integration with other government systems through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standardized integration mechanisms. Our plan includes developing at least 10 integrations each year, ensuring effective connectivity with various government entities.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This proactive approach will facilitate smooth data sharing and improve overall operational efficiency. To achieve this, we will implement a standardized integration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framework that adheres to best practices, promoting consistency and reliability in the connections between systems. In addition, CHC will engage closely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relevant stakeholders to identify specific integration requirements, ensuring that the solutions developed meet the unique needs of each government entity involved.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We will also establish performance monitoring tools to assess the effectiveness of the integrations, enabling proactive management and timely adjustments as needed.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Through these initiatives, CHC aims to create a robust integration landscape that enhances the capabilities of IFMIS, fostering improved collaboration and data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interoperability among government systems.</w:t>
            </w:r>
          </w:p>
        </w:tc>
        <w:tc>
          <w:tcPr>
            <w:tcW w:type="dxa" w:w="1694"/>
            <w:tcBorders>
              <w:start w:sz="6.399999999999636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Integration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Plan 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Development of new Enhancements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3660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4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61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800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6608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60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During the course of the support new enhancements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may be required to support changes in existing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regulations and processes. These will require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developed within the system to ensure compliance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and user adoption on the processes. The bidder will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be expected to implement new changes to ensure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that the system is aligned with existing laws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regulations as and when laws change.</w:t>
            </w:r>
          </w:p>
        </w:tc>
        <w:tc>
          <w:tcPr>
            <w:tcW w:type="dxa" w:w="1124"/>
            <w:tcBorders>
              <w:start w:sz="6.400000000000091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610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recognizes the importance of adapting IFMIS to accommodate changes in existing regulations and processes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during the course of our support. To ensure compliance and promote user adoption of the necessary processes, CHC is committed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implementing new enhancements as required. Our approach will involve continuous monitoring of regulatory changes and evaluating their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implications for the IFMIS system. This proactive stance will allow us to identify areas that require modification or enhancement in a timely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manner. When changes in laws and regulations occur, CHC will work closely with relevant stakeholders to assess the impact on existing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processes and develop the necessary adjustments within the system. By fostering open communication and collaboration, we will ensure 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 enhancements align with legal requirements while enhancing user experience. This commitment to adaptability will not only ensure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compliance but also empower users to navigate the system effectively, ultimately supporting the efficient functioning of government operations.</w:t>
            </w:r>
          </w:p>
        </w:tc>
        <w:tc>
          <w:tcPr>
            <w:tcW w:type="dxa" w:w="1800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Re-engineering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and Enhancement Plan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User Definition enhancement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358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6"/>
            <w:tcBorders>
              <w:start w:sz="6.400000000000091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730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75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7718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4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National Treasury IFMIS department 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responsible for Government employee definition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ensuring their rightful details are recorded in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system. To enhance efficiency the department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wishes to reorganize this function by allowing users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to be uploaded/obtained from the government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payroll. The bidder shall be expected to enhance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the user definition module HRMS module.</w:t>
            </w:r>
          </w:p>
        </w:tc>
        <w:tc>
          <w:tcPr>
            <w:tcW w:type="dxa" w:w="1126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730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acknowledges the critical role of the National Treasury IFMIS department in accurately defining government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employees and ensuring that their details are recorded in the system. To enhance efficiency in this function, CHC proposes a comprehensive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enhancement of the User Definition module within the Human Resource Management System (HRMS). This enhancement will allow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seamless integration with the government payroll system, enabling user details to be uploaded directly or obtained from payroll records. By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automating this process, we aim to reduce manual data entry errors and improve the accuracy of employee information within IFMIS.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collaboration with the National Treasury, CHC will develop the necessary functionalities to support this integration, ensuring that the user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definition process aligns with government policies and procedures. Our approach will involve thorough testing and user training to facilitate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smooth adoption of the new enhancements. By streamlining the user definition process, CHC aims to improve overall operational efficiency,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enabling the National Treasury IFMIS department to focus on strategic initiatives that enhance public service delivery.</w:t>
            </w:r>
          </w:p>
        </w:tc>
        <w:tc>
          <w:tcPr>
            <w:tcW w:type="dxa" w:w="1754"/>
            <w:tcBorders>
              <w:start w:sz="6.399999999999636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See System Re-engineering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and Enhancement Plan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04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00"/>
        <w:gridCol w:w="3100"/>
        <w:gridCol w:w="3100"/>
        <w:gridCol w:w="3100"/>
        <w:gridCol w:w="3100"/>
      </w:tblGrid>
      <w:tr>
        <w:trPr>
          <w:trHeight w:hRule="exact" w:val="382"/>
        </w:trPr>
        <w:tc>
          <w:tcPr>
            <w:tcW w:type="dxa" w:w="15464"/>
            <w:gridSpan w:val="5"/>
            <w:tcBorders>
              <w:start w:sz="5.600000000000023" w:val="single" w:color="#000000"/>
              <w:bottom w:sz="6.399999999999977" w:val="single" w:color="#000000"/>
            </w:tcBorders>
            <w:shd w:fill="9cc2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Sound IT Platform fully supporting</w:t>
            </w:r>
          </w:p>
        </w:tc>
      </w:tr>
      <w:tr>
        <w:trPr>
          <w:trHeight w:hRule="exact" w:val="392"/>
        </w:trPr>
        <w:tc>
          <w:tcPr>
            <w:tcW w:type="dxa" w:w="270"/>
            <w:tcBorders>
              <w:start w:sz="5.600000000000023" w:val="single" w:color="#000000"/>
              <w:top w:sz="6.399999999999977" w:val="single" w:color="#000000"/>
              <w:end w:sz="6.399999999999977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Req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400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Requirement Description</w:t>
            </w:r>
          </w:p>
        </w:tc>
        <w:tc>
          <w:tcPr>
            <w:tcW w:type="dxa" w:w="1126"/>
            <w:tcBorders>
              <w:start w:sz="6.400000000000091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Compliance(Y/N)</w:t>
            </w:r>
          </w:p>
        </w:tc>
        <w:tc>
          <w:tcPr>
            <w:tcW w:type="dxa" w:w="8384"/>
            <w:tcBorders>
              <w:start w:sz="5.599999999999909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Vendor's Comments on the Proposed Solution</w:t>
            </w:r>
          </w:p>
        </w:tc>
        <w:tc>
          <w:tcPr>
            <w:tcW w:type="dxa" w:w="1680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Cross Reference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Brochure/Document</w:t>
            </w:r>
          </w:p>
        </w:tc>
      </w:tr>
      <w:tr>
        <w:trPr>
          <w:trHeight w:hRule="exact" w:val="6894"/>
        </w:trPr>
        <w:tc>
          <w:tcPr>
            <w:tcW w:type="dxa" w:w="270"/>
            <w:tcBorders>
              <w:start w:sz="5.600000000000023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4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IFMIS security will also be reviewed for security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relevance in line with technological advancements while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aiming to control the cost of running the system. Given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criticality of IFMIS, the vendor will be required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implement enhancements in the following areas: - xi.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Authentication and Access Control xii. Data Encryption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xiii. Auditing and Monitoring xiv. Data Masking and Sub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setting xv. Database Vault xvi. Label Security xvii.</w:t>
            </w:r>
          </w:p>
          <w:p>
            <w:pPr>
              <w:autoSpaceDN w:val="0"/>
              <w:autoSpaceDE w:val="0"/>
              <w:widowControl/>
              <w:spacing w:line="216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Resource Management xviii. Patch Management xix.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Backup and Recovery Security xx. Advanced Security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Options</w:t>
            </w:r>
          </w:p>
        </w:tc>
        <w:tc>
          <w:tcPr>
            <w:tcW w:type="dxa" w:w="1126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8384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Counterhouse Consultants (CHC) understands the paramount importance of robust security measures for the Integrated Financial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Management Information System (IFMIS), especially in light of ongoing technological advancements. To ensure that IFMIS remains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secure, relevant, and cost-effective, we will conduct a thorough review of the existing security framework and implement necessary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enhancements across several critical areas. Our focus will include strengthening Authentication and Access Control mechanisms to ensure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that only authorized personnel have access to sensitive data. Additionally, we will prioritize Data Encryption, Auditing and Monitoring,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Data Masking and Subsetting to protect sensitive information and maintain compliance with regulatory standards. Furthermore, CHC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will implement advanced security features such as Database Vault, Label Security, and Resource Management to safeguard against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unauthorized access and ensure the integrity of the system. We will also establish Patch Management protocols and enhance Backup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Recovery Security processes to mitigate potential risks and ensure business continuity. By integrating these enhancements, along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Advanced Security Options, CHC aims to provide a comprehensive security solution that not only protects the integrity of IFMIS but also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supports the overall operational efficiency of the National Treasury.</w:t>
            </w:r>
          </w:p>
        </w:tc>
        <w:tc>
          <w:tcPr>
            <w:tcW w:type="dxa" w:w="1680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See System Re-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engineering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Enhancement Plan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Section of Technical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284" w:right="650" w:bottom="1440" w:left="69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6840" w:h="11900"/>
          <w:pgMar w:top="1440" w:right="1440" w:bottom="1440" w:left="1440" w:header="720" w:footer="720" w:gutter="0"/>
          <w:cols/>
          <w:docGrid w:linePitch="360"/>
        </w:sectPr>
      </w:pPr>
    </w:p>
    <w:sectPr w:rsidR="00FC693F" w:rsidRPr="0006063C" w:rsidSect="00034616">
      <w:pgSz w:w="16840" w:h="1190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