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rtl w:val="0"/>
        </w:rPr>
        <w:t>Brian Bauman</w:t>
      </w:r>
    </w:p>
    <w:p>
      <w:pPr>
        <w:pStyle w:val="Body A"/>
        <w:rPr>
          <w:b w:val="1"/>
          <w:bCs w:val="1"/>
        </w:rPr>
      </w:pPr>
    </w:p>
    <w:p>
      <w:pPr>
        <w:pStyle w:val="Body A"/>
        <w:rPr>
          <w:b w:val="1"/>
          <w:bCs w:val="1"/>
        </w:rPr>
      </w:pPr>
      <w:r>
        <w:rPr>
          <w:b w:val="1"/>
          <w:bCs w:val="1"/>
          <w:rtl w:val="0"/>
          <w:lang w:val="en-US"/>
        </w:rPr>
        <w:t>CSC 403 Homework 7B</w:t>
      </w:r>
    </w:p>
    <w:p>
      <w:pPr>
        <w:pStyle w:val="Body A"/>
        <w:rPr>
          <w:b w:val="1"/>
          <w:bCs w:val="1"/>
        </w:rPr>
      </w:pPr>
    </w:p>
    <w:p>
      <w:pPr>
        <w:pStyle w:val="Body A"/>
        <w:rPr>
          <w:i w:val="1"/>
          <w:iCs w:val="1"/>
        </w:rPr>
      </w:pPr>
      <w:r>
        <w:rPr>
          <w:i w:val="1"/>
          <w:iCs w:val="1"/>
          <w:rtl w:val="0"/>
          <w:lang w:val="en-US"/>
        </w:rPr>
        <w:t>Largest connected components in a Graph</w:t>
      </w:r>
    </w:p>
    <w:p>
      <w:pPr>
        <w:pStyle w:val="Body A"/>
        <w:rPr>
          <w:i w:val="1"/>
          <w:iCs w:val="1"/>
        </w:rPr>
      </w:pPr>
    </w:p>
    <w:p>
      <w:pPr>
        <w:pStyle w:val="Body A"/>
      </w:pPr>
      <w:r>
        <w:rPr>
          <w:rtl w:val="0"/>
        </w:rPr>
        <w:t>By varying p, the probability that an edge will be created between two vertices in the Erdos-Renyi creation process, it becomes clear that the entire Graph is highly likely to be connected as one component as soon as p is larger than ~0.5. As such, we</w:t>
      </w:r>
      <w:r>
        <w:rPr>
          <w:rtl w:val="0"/>
        </w:rPr>
        <w:t>’</w:t>
      </w:r>
      <w:r>
        <w:rPr>
          <w:rtl w:val="0"/>
        </w:rPr>
        <w:t xml:space="preserve">ll analyze the more interesting area of this plot, where 0 &lt; p &lt; 0.5. For each value of p, 20 random graphs of size N = 100 were generated using this probability as input. Averaging each runs largest component size lets us explore the relationship between this value and p. </w:t>
      </w:r>
    </w:p>
    <w:p>
      <w:pPr>
        <w:pStyle w:val="Body A"/>
      </w:pPr>
    </w:p>
    <w:p>
      <w:pPr>
        <w:pStyle w:val="Body A"/>
      </w:pPr>
    </w:p>
    <w:p>
      <w:pPr>
        <w:pStyle w:val="Body A"/>
      </w:pPr>
      <w:r>
        <w:drawing>
          <wp:inline distT="0" distB="0" distL="0" distR="0">
            <wp:extent cx="5659121" cy="2983134"/>
            <wp:effectExtent l="0" t="0" r="0" 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inline>
        </w:drawing>
      </w:r>
    </w:p>
    <w:p>
      <w:pPr>
        <w:pStyle w:val="Body A"/>
      </w:pPr>
    </w:p>
    <w:p>
      <w:pPr>
        <w:pStyle w:val="Body A"/>
      </w:pPr>
      <w:r>
        <w:rPr>
          <w:rtl w:val="0"/>
        </w:rPr>
        <w:t>This shows us a relationship not dissimilar from the cumulative distribution function. As the probability that edges will be created increase, there are marginally increasing increases in the average largest component size. This can be explained by understanding that each increase in the edge creation probability increases the chances of many possible paths that will connect two components. After a certain inflection point (~1.5% probability), the increases are marginally decreasing as it begins to plateau to a maximum possible size of N (100 in this example). Increasing N (to 200, say), lowers the inflection point</w:t>
      </w:r>
      <w:r>
        <w:rPr>
          <w:rtl w:val="0"/>
        </w:rPr>
        <w:t>’</w:t>
      </w:r>
      <w:r>
        <w:rPr>
          <w:rtl w:val="0"/>
        </w:rPr>
        <w:t>s probability (to ~0.075, roughly by half).</w:t>
      </w:r>
    </w:p>
    <w:p>
      <w:pPr>
        <w:pStyle w:val="Body A"/>
      </w:pPr>
    </w:p>
    <w:p>
      <w:pPr>
        <w:pStyle w:val="Body A"/>
        <w:rPr>
          <w:i w:val="1"/>
          <w:iCs w:val="1"/>
        </w:rPr>
      </w:pPr>
      <w:r>
        <w:rPr>
          <w:i w:val="1"/>
          <w:iCs w:val="1"/>
          <w:rtl w:val="0"/>
          <w:lang w:val="en-US"/>
        </w:rPr>
        <w:t>Largest strongly connected components in a Digraph</w:t>
      </w:r>
    </w:p>
    <w:p>
      <w:pPr>
        <w:pStyle w:val="Body A"/>
        <w:rPr>
          <w:i w:val="1"/>
          <w:iCs w:val="1"/>
        </w:rPr>
      </w:pPr>
    </w:p>
    <w:p>
      <w:pPr>
        <w:pStyle w:val="Body A"/>
      </w:pPr>
      <w:r>
        <w:rPr>
          <w:rtl w:val="0"/>
        </w:rPr>
        <w:t xml:space="preserve">Following the exact same methodology we also created random Digraphs and plotted their largest strongly connected component sizes against the probability, p. Again, we ran 20 repititions for each probability. </w:t>
      </w:r>
    </w:p>
    <w:p>
      <w:pPr>
        <w:pStyle w:val="Body A"/>
      </w:pPr>
    </w:p>
    <w:p>
      <w:pPr>
        <w:pStyle w:val="Body A"/>
      </w:pPr>
    </w:p>
    <w:p>
      <w:pPr>
        <w:pStyle w:val="Body A"/>
      </w:pPr>
    </w:p>
    <w:p>
      <w:pPr>
        <w:pStyle w:val="Body A"/>
      </w:pPr>
    </w:p>
    <w:p>
      <w:pPr>
        <w:pStyle w:val="Body A"/>
      </w:pPr>
      <w:r>
        <w:drawing>
          <wp:inline distT="0" distB="0" distL="0" distR="0">
            <wp:extent cx="5486403" cy="3850166"/>
            <wp:effectExtent l="0" t="0" r="0" 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inline>
        </w:drawing>
      </w:r>
    </w:p>
    <w:p>
      <w:pPr>
        <w:pStyle w:val="Body A"/>
      </w:pPr>
    </w:p>
    <w:p>
      <w:pPr>
        <w:pStyle w:val="Body A"/>
      </w:pPr>
      <w:r>
        <w:rPr>
          <w:rtl w:val="0"/>
        </w:rPr>
        <w:t>The results here were very similar, and for the same reasons. For random graphs of the same size (N = 100), the inflection point occurred around the same value, but slightly higher (~1.75%). When doubling the size of the randomly created graphs, the inflection point rises to a probability of ~1.875%.</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200" u="none">
                <a:solidFill>
                  <a:srgbClr val="000000"/>
                </a:solidFill>
                <a:latin typeface="Helvetica"/>
              </a:defRPr>
            </a:pPr>
            <a:r>
              <a:rPr b="0" i="0" strike="noStrike" sz="1200" u="none">
                <a:solidFill>
                  <a:srgbClr val="000000"/>
                </a:solidFill>
                <a:latin typeface="Helvetica"/>
              </a:rPr>
              <a:t>Average largest connected component size (Graph)</a:t>
            </a:r>
          </a:p>
        </c:rich>
      </c:tx>
      <c:layout>
        <c:manualLayout>
          <c:xMode val="edge"/>
          <c:yMode val="edge"/>
          <c:x val="0.19187"/>
          <c:y val="0"/>
          <c:w val="0.61626"/>
          <c:h val="0.110689"/>
        </c:manualLayout>
      </c:layout>
      <c:overlay val="1"/>
      <c:spPr>
        <a:noFill/>
        <a:effectLst/>
      </c:spPr>
    </c:title>
    <c:autoTitleDeleted val="1"/>
    <c:plotArea>
      <c:layout>
        <c:manualLayout>
          <c:layoutTarget val="inner"/>
          <c:xMode val="edge"/>
          <c:yMode val="edge"/>
          <c:x val="0.149568"/>
          <c:y val="0.110689"/>
          <c:w val="0.81499"/>
          <c:h val="0.729935"/>
        </c:manualLayout>
      </c:layout>
      <c:lineChart>
        <c:grouping val="standard"/>
        <c:varyColors val="0"/>
        <c:ser>
          <c:idx val="0"/>
          <c:order val="0"/>
          <c:tx>
            <c:strRef>
              <c:f>Sheet1!$B$1</c:f>
              <c:strCache>
                <c:ptCount val="1"/>
                <c:pt idx="0">
                  <c:v>Average largest  connected component size (Graph)</c:v>
                </c:pt>
              </c:strCache>
            </c:strRef>
          </c:tx>
          <c:spPr>
            <a:solidFill>
              <a:srgbClr val="FFFFFF"/>
            </a:solidFill>
            <a:ln w="50800" cap="flat">
              <a:solidFill>
                <a:srgbClr val="51A7F9"/>
              </a:solidFill>
              <a:prstDash val="solid"/>
              <a:miter lim="400000"/>
            </a:ln>
            <a:effectLst/>
          </c:spPr>
          <c:marker>
            <c:symbol val="circle"/>
            <c:size val="6"/>
            <c:spPr>
              <a:solidFill>
                <a:srgbClr val="FFFFFF"/>
              </a:solidFill>
              <a:ln w="50800" cap="flat">
                <a:solidFill>
                  <a:srgbClr val="51A7F9"/>
                </a:solidFill>
                <a:prstDash val="solid"/>
                <a:miter lim="400000"/>
              </a:ln>
              <a:effectLst/>
            </c:spPr>
          </c:marker>
          <c:dLbls>
            <c:numFmt formatCode="0.00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Sheet1!$A$2:$A$42</c:f>
              <c:strCache>
                <c:ptCount val="41"/>
                <c:pt idx="0">
                  <c:v>0.0000</c:v>
                </c:pt>
                <c:pt idx="1">
                  <c:v>0.1250</c:v>
                </c:pt>
                <c:pt idx="2">
                  <c:v>0.2500</c:v>
                </c:pt>
                <c:pt idx="3">
                  <c:v>0.3750</c:v>
                </c:pt>
                <c:pt idx="4">
                  <c:v>0.5000</c:v>
                </c:pt>
                <c:pt idx="5">
                  <c:v>0.6250</c:v>
                </c:pt>
                <c:pt idx="6">
                  <c:v>0.7500</c:v>
                </c:pt>
                <c:pt idx="7">
                  <c:v>0.8750</c:v>
                </c:pt>
                <c:pt idx="8">
                  <c:v>1.0000</c:v>
                </c:pt>
                <c:pt idx="9">
                  <c:v>1.1250</c:v>
                </c:pt>
                <c:pt idx="10">
                  <c:v>1.2500</c:v>
                </c:pt>
                <c:pt idx="11">
                  <c:v>1.3750</c:v>
                </c:pt>
                <c:pt idx="12">
                  <c:v>1.5000</c:v>
                </c:pt>
                <c:pt idx="13">
                  <c:v>1.6250</c:v>
                </c:pt>
                <c:pt idx="14">
                  <c:v>1.7500</c:v>
                </c:pt>
                <c:pt idx="15">
                  <c:v>1.8750</c:v>
                </c:pt>
                <c:pt idx="16">
                  <c:v>2.0000</c:v>
                </c:pt>
                <c:pt idx="17">
                  <c:v>2.1250</c:v>
                </c:pt>
                <c:pt idx="18">
                  <c:v>2.2500</c:v>
                </c:pt>
                <c:pt idx="19">
                  <c:v>2.3750</c:v>
                </c:pt>
                <c:pt idx="20">
                  <c:v>2.5000</c:v>
                </c:pt>
                <c:pt idx="21">
                  <c:v>2.6250</c:v>
                </c:pt>
                <c:pt idx="22">
                  <c:v>2.7500</c:v>
                </c:pt>
                <c:pt idx="23">
                  <c:v>2.8750</c:v>
                </c:pt>
                <c:pt idx="24">
                  <c:v>3.0000</c:v>
                </c:pt>
                <c:pt idx="25">
                  <c:v>3.1250</c:v>
                </c:pt>
                <c:pt idx="26">
                  <c:v>3.2500</c:v>
                </c:pt>
                <c:pt idx="27">
                  <c:v>3.3750</c:v>
                </c:pt>
                <c:pt idx="28">
                  <c:v>3.5000</c:v>
                </c:pt>
                <c:pt idx="29">
                  <c:v>3.6250</c:v>
                </c:pt>
                <c:pt idx="30">
                  <c:v>3.7500</c:v>
                </c:pt>
                <c:pt idx="31">
                  <c:v>3.8750</c:v>
                </c:pt>
                <c:pt idx="32">
                  <c:v>4.0000</c:v>
                </c:pt>
                <c:pt idx="33">
                  <c:v>4.1250</c:v>
                </c:pt>
                <c:pt idx="34">
                  <c:v>4.2500</c:v>
                </c:pt>
                <c:pt idx="35">
                  <c:v>4.3750</c:v>
                </c:pt>
                <c:pt idx="36">
                  <c:v>4.5000</c:v>
                </c:pt>
                <c:pt idx="37">
                  <c:v>4.6250</c:v>
                </c:pt>
                <c:pt idx="38">
                  <c:v>4.7500</c:v>
                </c:pt>
                <c:pt idx="39">
                  <c:v>4.8750</c:v>
                </c:pt>
                <c:pt idx="40">
                  <c:v>5.0000</c:v>
                </c:pt>
              </c:strCache>
            </c:strRef>
          </c:cat>
          <c:val>
            <c:numRef>
              <c:f>Sheet1!$B$2:$B$42</c:f>
              <c:numCache>
                <c:ptCount val="41"/>
                <c:pt idx="0">
                  <c:v>1.000000</c:v>
                </c:pt>
                <c:pt idx="1">
                  <c:v>2.450000</c:v>
                </c:pt>
                <c:pt idx="2">
                  <c:v>3.550000</c:v>
                </c:pt>
                <c:pt idx="3">
                  <c:v>4.500000</c:v>
                </c:pt>
                <c:pt idx="4">
                  <c:v>6.450000</c:v>
                </c:pt>
                <c:pt idx="5">
                  <c:v>8.650000</c:v>
                </c:pt>
                <c:pt idx="6">
                  <c:v>10.500000</c:v>
                </c:pt>
                <c:pt idx="7">
                  <c:v>12.850000</c:v>
                </c:pt>
                <c:pt idx="8">
                  <c:v>21.200000</c:v>
                </c:pt>
                <c:pt idx="9">
                  <c:v>30.750000</c:v>
                </c:pt>
                <c:pt idx="10">
                  <c:v>39.050000</c:v>
                </c:pt>
                <c:pt idx="11">
                  <c:v>42.950000</c:v>
                </c:pt>
                <c:pt idx="12">
                  <c:v>53.000000</c:v>
                </c:pt>
                <c:pt idx="13">
                  <c:v>60.150000</c:v>
                </c:pt>
                <c:pt idx="14">
                  <c:v>67.950000</c:v>
                </c:pt>
                <c:pt idx="15">
                  <c:v>73.850000</c:v>
                </c:pt>
                <c:pt idx="16">
                  <c:v>78.000000</c:v>
                </c:pt>
                <c:pt idx="17">
                  <c:v>80.450000</c:v>
                </c:pt>
                <c:pt idx="18">
                  <c:v>83.700000</c:v>
                </c:pt>
                <c:pt idx="19">
                  <c:v>86.950000</c:v>
                </c:pt>
                <c:pt idx="20">
                  <c:v>89.650000</c:v>
                </c:pt>
                <c:pt idx="21">
                  <c:v>90.250000</c:v>
                </c:pt>
                <c:pt idx="22">
                  <c:v>90.650000</c:v>
                </c:pt>
                <c:pt idx="23">
                  <c:v>92.000000</c:v>
                </c:pt>
                <c:pt idx="24">
                  <c:v>94.500000</c:v>
                </c:pt>
                <c:pt idx="25">
                  <c:v>94.900000</c:v>
                </c:pt>
                <c:pt idx="26">
                  <c:v>96.000000</c:v>
                </c:pt>
                <c:pt idx="27">
                  <c:v>95.650000</c:v>
                </c:pt>
                <c:pt idx="28">
                  <c:v>96.400000</c:v>
                </c:pt>
                <c:pt idx="29">
                  <c:v>96.750000</c:v>
                </c:pt>
                <c:pt idx="30">
                  <c:v>97.850000</c:v>
                </c:pt>
                <c:pt idx="31">
                  <c:v>97.800000</c:v>
                </c:pt>
                <c:pt idx="32">
                  <c:v>98.400000</c:v>
                </c:pt>
                <c:pt idx="33">
                  <c:v>98.450000</c:v>
                </c:pt>
                <c:pt idx="34">
                  <c:v>98.600000</c:v>
                </c:pt>
                <c:pt idx="35">
                  <c:v>99.000000</c:v>
                </c:pt>
                <c:pt idx="36">
                  <c:v>99.150000</c:v>
                </c:pt>
                <c:pt idx="37">
                  <c:v>99.100000</c:v>
                </c:pt>
                <c:pt idx="38">
                  <c:v>99.250000</c:v>
                </c:pt>
                <c:pt idx="39">
                  <c:v>99.450000</c:v>
                </c:pt>
                <c:pt idx="40">
                  <c:v>99.400000</c:v>
                </c:pt>
              </c:numCache>
            </c:numRef>
          </c:val>
          <c:smooth val="1"/>
        </c:ser>
        <c:marker val="1"/>
        <c:axId val="2094734552"/>
        <c:axId val="2094734553"/>
      </c:line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ER edge probability</a:t>
                </a:r>
              </a:p>
            </c:rich>
          </c:tx>
          <c:layout/>
          <c:overlay val="1"/>
        </c:title>
        <c:numFmt formatCode="0.000"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12700"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Average largest component size</a:t>
                </a:r>
              </a:p>
            </c:rich>
          </c:tx>
          <c:layout/>
          <c:overlay val="1"/>
        </c:title>
        <c:numFmt formatCode="0.000" sourceLinked="0"/>
        <c:majorTickMark val="none"/>
        <c:minorTickMark val="none"/>
        <c:tickLblPos val="nextTo"/>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200" u="none">
                <a:solidFill>
                  <a:srgbClr val="000000"/>
                </a:solidFill>
                <a:latin typeface="Helvetica"/>
              </a:defRPr>
            </a:pPr>
            <a:r>
              <a:rPr b="0" i="0" strike="noStrike" sz="1200" u="none">
                <a:solidFill>
                  <a:srgbClr val="000000"/>
                </a:solidFill>
                <a:latin typeface="Helvetica"/>
              </a:rPr>
              <a:t>Average largest strongly connected component size</a:t>
            </a:r>
          </a:p>
        </c:rich>
      </c:tx>
      <c:layout>
        <c:manualLayout>
          <c:xMode val="edge"/>
          <c:yMode val="edge"/>
          <c:x val="0.18139"/>
          <c:y val="0"/>
          <c:w val="0.63722"/>
          <c:h val="0.0857625"/>
        </c:manualLayout>
      </c:layout>
      <c:overlay val="1"/>
      <c:spPr>
        <a:noFill/>
        <a:effectLst/>
      </c:spPr>
    </c:title>
    <c:autoTitleDeleted val="1"/>
    <c:plotArea>
      <c:layout>
        <c:manualLayout>
          <c:layoutTarget val="inner"/>
          <c:xMode val="edge"/>
          <c:yMode val="edge"/>
          <c:x val="0.183212"/>
          <c:y val="0.0857625"/>
          <c:w val="0.811233"/>
          <c:h val="0.787937"/>
        </c:manualLayout>
      </c:layout>
      <c:lineChart>
        <c:grouping val="standard"/>
        <c:varyColors val="0"/>
        <c:ser>
          <c:idx val="0"/>
          <c:order val="0"/>
          <c:tx>
            <c:strRef>
              <c:f>Sheet1!$B$1</c:f>
              <c:strCache>
                <c:ptCount val="1"/>
                <c:pt idx="0">
                  <c:v>Average largest strongly connected component size (Digraph)</c:v>
                </c:pt>
              </c:strCache>
            </c:strRef>
          </c:tx>
          <c:spPr>
            <a:solidFill>
              <a:srgbClr val="FFFFFF"/>
            </a:solidFill>
            <a:ln w="50800" cap="flat">
              <a:solidFill>
                <a:srgbClr val="51A7F9"/>
              </a:solidFill>
              <a:prstDash val="solid"/>
              <a:miter lim="400000"/>
            </a:ln>
            <a:effectLst/>
          </c:spPr>
          <c:marker>
            <c:symbol val="circle"/>
            <c:size val="6"/>
            <c:spPr>
              <a:solidFill>
                <a:srgbClr val="FFFFFF"/>
              </a:solidFill>
              <a:ln w="50800" cap="flat">
                <a:solidFill>
                  <a:srgbClr val="51A7F9"/>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Sheet1!$A$2:$A$46</c:f>
              <c:strCache>
                <c:ptCount val="45"/>
                <c:pt idx="0">
                  <c:v>0.0000</c:v>
                </c:pt>
                <c:pt idx="1">
                  <c:v>0.1250</c:v>
                </c:pt>
                <c:pt idx="2">
                  <c:v>0.2500</c:v>
                </c:pt>
                <c:pt idx="3">
                  <c:v>0.3750</c:v>
                </c:pt>
                <c:pt idx="4">
                  <c:v>0.5000</c:v>
                </c:pt>
                <c:pt idx="5">
                  <c:v>0.6250</c:v>
                </c:pt>
                <c:pt idx="6">
                  <c:v>0.7500</c:v>
                </c:pt>
                <c:pt idx="7">
                  <c:v>0.8750</c:v>
                </c:pt>
                <c:pt idx="8">
                  <c:v>1.0000</c:v>
                </c:pt>
                <c:pt idx="9">
                  <c:v>1.1250</c:v>
                </c:pt>
                <c:pt idx="10">
                  <c:v>1.2500</c:v>
                </c:pt>
                <c:pt idx="11">
                  <c:v>1.3750</c:v>
                </c:pt>
                <c:pt idx="12">
                  <c:v>1.5000</c:v>
                </c:pt>
                <c:pt idx="13">
                  <c:v>1.6250</c:v>
                </c:pt>
                <c:pt idx="14">
                  <c:v>1.7500</c:v>
                </c:pt>
                <c:pt idx="15">
                  <c:v>1.8750</c:v>
                </c:pt>
                <c:pt idx="16">
                  <c:v>2.0000</c:v>
                </c:pt>
                <c:pt idx="17">
                  <c:v>2.1250</c:v>
                </c:pt>
                <c:pt idx="18">
                  <c:v>2.2500</c:v>
                </c:pt>
                <c:pt idx="19">
                  <c:v>2.3750</c:v>
                </c:pt>
                <c:pt idx="20">
                  <c:v>2.5000</c:v>
                </c:pt>
                <c:pt idx="21">
                  <c:v>2.6250</c:v>
                </c:pt>
                <c:pt idx="22">
                  <c:v>2.7500</c:v>
                </c:pt>
                <c:pt idx="23">
                  <c:v>2.8750</c:v>
                </c:pt>
                <c:pt idx="24">
                  <c:v>3.0000</c:v>
                </c:pt>
                <c:pt idx="25">
                  <c:v>3.1250</c:v>
                </c:pt>
                <c:pt idx="26">
                  <c:v>3.2500</c:v>
                </c:pt>
                <c:pt idx="27">
                  <c:v>3.3750</c:v>
                </c:pt>
                <c:pt idx="28">
                  <c:v>3.5000</c:v>
                </c:pt>
                <c:pt idx="29">
                  <c:v>3.6250</c:v>
                </c:pt>
                <c:pt idx="30">
                  <c:v>3.7500</c:v>
                </c:pt>
                <c:pt idx="31">
                  <c:v>3.8750</c:v>
                </c:pt>
                <c:pt idx="32">
                  <c:v>4.0000</c:v>
                </c:pt>
                <c:pt idx="33">
                  <c:v>4.1250</c:v>
                </c:pt>
                <c:pt idx="34">
                  <c:v>4.2500</c:v>
                </c:pt>
                <c:pt idx="35">
                  <c:v>4.3750</c:v>
                </c:pt>
                <c:pt idx="36">
                  <c:v>4.5000</c:v>
                </c:pt>
                <c:pt idx="37">
                  <c:v>4.6250</c:v>
                </c:pt>
                <c:pt idx="38">
                  <c:v>4.7500</c:v>
                </c:pt>
                <c:pt idx="39">
                  <c:v>4.8750</c:v>
                </c:pt>
                <c:pt idx="40">
                  <c:v>5.0000</c:v>
                </c:pt>
                <c:pt idx="41">
                  <c:v/>
                </c:pt>
                <c:pt idx="42">
                  <c:v/>
                </c:pt>
                <c:pt idx="43">
                  <c:v/>
                </c:pt>
                <c:pt idx="44">
                  <c:v/>
                </c:pt>
              </c:strCache>
            </c:strRef>
          </c:cat>
          <c:val>
            <c:numRef>
              <c:f>Sheet1!$B$2:$B$46</c:f>
              <c:numCache>
                <c:ptCount val="41"/>
                <c:pt idx="0">
                  <c:v>1.000000</c:v>
                </c:pt>
                <c:pt idx="1">
                  <c:v>1.000000</c:v>
                </c:pt>
                <c:pt idx="2">
                  <c:v>1.050000</c:v>
                </c:pt>
                <c:pt idx="3">
                  <c:v>1.200000</c:v>
                </c:pt>
                <c:pt idx="4">
                  <c:v>1.100000</c:v>
                </c:pt>
                <c:pt idx="5">
                  <c:v>1.450000</c:v>
                </c:pt>
                <c:pt idx="6">
                  <c:v>1.950000</c:v>
                </c:pt>
                <c:pt idx="7">
                  <c:v>2.900000</c:v>
                </c:pt>
                <c:pt idx="8">
                  <c:v>6.350000</c:v>
                </c:pt>
                <c:pt idx="9">
                  <c:v>8.850000</c:v>
                </c:pt>
                <c:pt idx="10">
                  <c:v>12.950000</c:v>
                </c:pt>
                <c:pt idx="11">
                  <c:v>26.400000</c:v>
                </c:pt>
                <c:pt idx="12">
                  <c:v>26.450000</c:v>
                </c:pt>
                <c:pt idx="13">
                  <c:v>34.050000</c:v>
                </c:pt>
                <c:pt idx="14">
                  <c:v>40.300000</c:v>
                </c:pt>
                <c:pt idx="15">
                  <c:v>52.050000</c:v>
                </c:pt>
                <c:pt idx="16">
                  <c:v>64.750000</c:v>
                </c:pt>
                <c:pt idx="17">
                  <c:v>65.550000</c:v>
                </c:pt>
                <c:pt idx="18">
                  <c:v>75.600000</c:v>
                </c:pt>
                <c:pt idx="19">
                  <c:v>77.800000</c:v>
                </c:pt>
                <c:pt idx="20">
                  <c:v>79.100000</c:v>
                </c:pt>
                <c:pt idx="21">
                  <c:v>79.850000</c:v>
                </c:pt>
                <c:pt idx="22">
                  <c:v>83.800000</c:v>
                </c:pt>
                <c:pt idx="23">
                  <c:v>86.600000</c:v>
                </c:pt>
                <c:pt idx="24">
                  <c:v>90.700000</c:v>
                </c:pt>
                <c:pt idx="25">
                  <c:v>89.550000</c:v>
                </c:pt>
                <c:pt idx="26">
                  <c:v>91.650000</c:v>
                </c:pt>
                <c:pt idx="27">
                  <c:v>93.200000</c:v>
                </c:pt>
                <c:pt idx="28">
                  <c:v>93.750000</c:v>
                </c:pt>
                <c:pt idx="29">
                  <c:v>94.800000</c:v>
                </c:pt>
                <c:pt idx="30">
                  <c:v>95.450000</c:v>
                </c:pt>
                <c:pt idx="31">
                  <c:v>96.200000</c:v>
                </c:pt>
                <c:pt idx="32">
                  <c:v>96.450000</c:v>
                </c:pt>
                <c:pt idx="33">
                  <c:v>97.300000</c:v>
                </c:pt>
                <c:pt idx="34">
                  <c:v>97.600000</c:v>
                </c:pt>
                <c:pt idx="35">
                  <c:v>97.150000</c:v>
                </c:pt>
                <c:pt idx="36">
                  <c:v>97.950000</c:v>
                </c:pt>
                <c:pt idx="37">
                  <c:v>97.700000</c:v>
                </c:pt>
                <c:pt idx="38">
                  <c:v>98.800000</c:v>
                </c:pt>
                <c:pt idx="39">
                  <c:v>98.700000</c:v>
                </c:pt>
                <c:pt idx="40">
                  <c:v>98.800000</c:v>
                </c:pt>
              </c:numCache>
            </c:numRef>
          </c:val>
          <c:smooth val="0"/>
        </c:ser>
        <c:ser>
          <c:idx val="1"/>
          <c:order val="1"/>
          <c:tx>
            <c:strRef>
              <c:f>Sheet1!$C$1</c:f>
              <c:strCache/>
            </c:strRef>
          </c:tx>
          <c:spPr>
            <a:solidFill>
              <a:srgbClr val="FFFFFF"/>
            </a:solidFill>
            <a:ln w="50800" cap="flat">
              <a:solidFill>
                <a:srgbClr val="70BF41"/>
              </a:solidFill>
              <a:prstDash val="solid"/>
              <a:miter lim="400000"/>
            </a:ln>
            <a:effectLst/>
          </c:spPr>
          <c:marker>
            <c:symbol val="circle"/>
            <c:size val="6"/>
            <c:spPr>
              <a:solidFill>
                <a:srgbClr val="FFFFFF"/>
              </a:solidFill>
              <a:ln w="50800" cap="flat">
                <a:solidFill>
                  <a:srgbClr val="70BF41"/>
                </a:solidFill>
                <a:prstDash val="solid"/>
                <a:miter lim="400000"/>
              </a:ln>
              <a:effectLst/>
            </c:spPr>
          </c:marker>
          <c:dLbls>
            <c:numFmt formatCode="#,##0" sourceLinked="0"/>
            <c:txPr>
              <a:bodyPr/>
              <a:lstStyle/>
              <a:p>
                <a:pPr>
                  <a:defRPr b="0" i="0" strike="noStrike" sz="1200" u="none">
                    <a:solidFill>
                      <a:srgbClr val="000000"/>
                    </a:solidFill>
                    <a:latin typeface="Helvetica"/>
                  </a:defRPr>
                </a:pPr>
              </a:p>
            </c:txPr>
            <c:dLblPos val="t"/>
            <c:showLegendKey val="0"/>
            <c:showVal val="0"/>
            <c:showCatName val="0"/>
            <c:showSerName val="0"/>
            <c:showPercent val="0"/>
            <c:showBubbleSize val="0"/>
            <c:showLeaderLines val="0"/>
          </c:dLbls>
          <c:cat>
            <c:strRef>
              <c:f>Sheet1!$A$2:$A$46</c:f>
              <c:strCache>
                <c:ptCount val="45"/>
                <c:pt idx="0">
                  <c:v>0.0000</c:v>
                </c:pt>
                <c:pt idx="1">
                  <c:v>0.1250</c:v>
                </c:pt>
                <c:pt idx="2">
                  <c:v>0.2500</c:v>
                </c:pt>
                <c:pt idx="3">
                  <c:v>0.3750</c:v>
                </c:pt>
                <c:pt idx="4">
                  <c:v>0.5000</c:v>
                </c:pt>
                <c:pt idx="5">
                  <c:v>0.6250</c:v>
                </c:pt>
                <c:pt idx="6">
                  <c:v>0.7500</c:v>
                </c:pt>
                <c:pt idx="7">
                  <c:v>0.8750</c:v>
                </c:pt>
                <c:pt idx="8">
                  <c:v>1.0000</c:v>
                </c:pt>
                <c:pt idx="9">
                  <c:v>1.1250</c:v>
                </c:pt>
                <c:pt idx="10">
                  <c:v>1.2500</c:v>
                </c:pt>
                <c:pt idx="11">
                  <c:v>1.3750</c:v>
                </c:pt>
                <c:pt idx="12">
                  <c:v>1.5000</c:v>
                </c:pt>
                <c:pt idx="13">
                  <c:v>1.6250</c:v>
                </c:pt>
                <c:pt idx="14">
                  <c:v>1.7500</c:v>
                </c:pt>
                <c:pt idx="15">
                  <c:v>1.8750</c:v>
                </c:pt>
                <c:pt idx="16">
                  <c:v>2.0000</c:v>
                </c:pt>
                <c:pt idx="17">
                  <c:v>2.1250</c:v>
                </c:pt>
                <c:pt idx="18">
                  <c:v>2.2500</c:v>
                </c:pt>
                <c:pt idx="19">
                  <c:v>2.3750</c:v>
                </c:pt>
                <c:pt idx="20">
                  <c:v>2.5000</c:v>
                </c:pt>
                <c:pt idx="21">
                  <c:v>2.6250</c:v>
                </c:pt>
                <c:pt idx="22">
                  <c:v>2.7500</c:v>
                </c:pt>
                <c:pt idx="23">
                  <c:v>2.8750</c:v>
                </c:pt>
                <c:pt idx="24">
                  <c:v>3.0000</c:v>
                </c:pt>
                <c:pt idx="25">
                  <c:v>3.1250</c:v>
                </c:pt>
                <c:pt idx="26">
                  <c:v>3.2500</c:v>
                </c:pt>
                <c:pt idx="27">
                  <c:v>3.3750</c:v>
                </c:pt>
                <c:pt idx="28">
                  <c:v>3.5000</c:v>
                </c:pt>
                <c:pt idx="29">
                  <c:v>3.6250</c:v>
                </c:pt>
                <c:pt idx="30">
                  <c:v>3.7500</c:v>
                </c:pt>
                <c:pt idx="31">
                  <c:v>3.8750</c:v>
                </c:pt>
                <c:pt idx="32">
                  <c:v>4.0000</c:v>
                </c:pt>
                <c:pt idx="33">
                  <c:v>4.1250</c:v>
                </c:pt>
                <c:pt idx="34">
                  <c:v>4.2500</c:v>
                </c:pt>
                <c:pt idx="35">
                  <c:v>4.3750</c:v>
                </c:pt>
                <c:pt idx="36">
                  <c:v>4.5000</c:v>
                </c:pt>
                <c:pt idx="37">
                  <c:v>4.6250</c:v>
                </c:pt>
                <c:pt idx="38">
                  <c:v>4.7500</c:v>
                </c:pt>
                <c:pt idx="39">
                  <c:v>4.8750</c:v>
                </c:pt>
                <c:pt idx="40">
                  <c:v>5.0000</c:v>
                </c:pt>
                <c:pt idx="41">
                  <c:v/>
                </c:pt>
                <c:pt idx="42">
                  <c:v/>
                </c:pt>
                <c:pt idx="43">
                  <c:v/>
                </c:pt>
                <c:pt idx="44">
                  <c:v/>
                </c:pt>
              </c:strCache>
            </c:strRef>
          </c:cat>
          <c:val>
            <c:numRef>
              <c:f>Sheet1!$C$2:$C$46</c:f>
              <c:numCache>
                <c:ptCount val="0"/>
              </c:numCache>
            </c:numRef>
          </c:val>
          <c:smooth val="0"/>
        </c:ser>
        <c:marker val="1"/>
        <c:axId val="2094734552"/>
        <c:axId val="2094734553"/>
      </c:line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ER edge probability</a:t>
                </a:r>
              </a:p>
            </c:rich>
          </c:tx>
          <c:layout/>
          <c:overlay val="1"/>
        </c:title>
        <c:numFmt formatCode="0.000"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12700"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Average largest strongly connected component size</a:t>
                </a:r>
              </a:p>
            </c:rich>
          </c:tx>
          <c:layout/>
          <c:overlay val="1"/>
        </c:title>
        <c:numFmt formatCode="0.000"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midCat"/>
        <c:majorUnit val="25"/>
        <c:minorUnit val="12.5"/>
      </c:valAx>
      <c:spPr>
        <a:noFill/>
        <a:ln w="12700" cap="flat">
          <a:noFill/>
          <a:miter lim="400000"/>
        </a:ln>
        <a:effectLst/>
      </c:spPr>
    </c:plotArea>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