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Brian Bauman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CSC 435 Assignment 5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DHCP Lab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Screenshot of terminal (I use a Mac which doesn</w:t>
      </w:r>
      <w:r>
        <w:rPr>
          <w:rtl w:val="0"/>
        </w:rPr>
        <w:t>’</w:t>
      </w:r>
      <w:r>
        <w:rPr>
          <w:rtl w:val="0"/>
        </w:rPr>
        <w:t>t log as many things</w:t>
      </w:r>
      <w:r>
        <w:rPr>
          <w:rtl w:val="0"/>
        </w:rPr>
        <w:t xml:space="preserve">… </w:t>
      </w:r>
      <w:r>
        <w:rPr>
          <w:rtl w:val="0"/>
        </w:rPr>
        <w:t>and the commands are different):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165100</wp:posOffset>
            </wp:positionV>
            <wp:extent cx="5943600" cy="100697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9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textWrapping"/>
      </w:r>
      <w:r>
        <w:rPr>
          <w:rtl w:val="0"/>
        </w:rPr>
        <w:t>1. They are sent over UDP:</w:t>
      </w:r>
      <w:r>
        <w:drawing>
          <wp:inline distT="0" distB="0" distL="0" distR="0">
            <wp:extent cx="5499100" cy="205740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2057400"/>
                    </a:xfrm>
                    <a:prstGeom prst="rect">
                      <a:avLst/>
                    </a:prstGeom>
                    <a:ln w="25400" cap="flat">
                      <a:noFill/>
                      <a:miter lim="400000"/>
                    </a:ln>
                    <a:effectLst>
                      <a:outerShdw sx="100000" sy="100000" kx="0" ky="0" algn="b" rotWithShape="0" blurRad="38100" dist="38100" dir="2700000">
                        <a:srgbClr val="000000">
                          <a:alpha val="2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2. The messages go client </w:t>
      </w:r>
      <w:r>
        <w:rPr>
          <w:rtl w:val="0"/>
        </w:rPr>
        <w:t>—</w:t>
      </w:r>
      <w:r>
        <w:rPr>
          <w:rtl w:val="0"/>
        </w:rPr>
        <w:t xml:space="preserve">&gt; server, server </w:t>
      </w:r>
      <w:r>
        <w:rPr>
          <w:rtl w:val="0"/>
        </w:rPr>
        <w:t>—</w:t>
      </w:r>
      <w:r>
        <w:rPr>
          <w:rtl w:val="0"/>
        </w:rPr>
        <w:t xml:space="preserve">&gt; client, client </w:t>
      </w:r>
      <w:r>
        <w:rPr>
          <w:rtl w:val="0"/>
        </w:rPr>
        <w:t>—</w:t>
      </w:r>
      <w:r>
        <w:rPr>
          <w:rtl w:val="0"/>
        </w:rPr>
        <w:t xml:space="preserve">&gt; server, server </w:t>
      </w:r>
      <w:r>
        <w:rPr>
          <w:rtl w:val="0"/>
        </w:rPr>
        <w:t>—</w:t>
      </w:r>
      <w:r>
        <w:rPr>
          <w:rtl w:val="0"/>
        </w:rPr>
        <w:t>&gt; client, as shown below. The source/destination ports are 68/67, 67/68, 68/67, 67/68, respectively.</w:t>
      </w:r>
    </w:p>
    <w:p>
      <w:pPr>
        <w:pStyle w:val="Body"/>
        <w:bidi w:val="0"/>
      </w:pPr>
      <w:r>
        <w:drawing>
          <wp:inline distT="0" distB="0" distL="0" distR="0">
            <wp:extent cx="5943600" cy="85213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1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Yes, the port numbers would be the same.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3. Highlighted:</w:t>
      </w:r>
    </w:p>
    <w:p>
      <w:pPr>
        <w:pStyle w:val="Body"/>
        <w:bidi w:val="0"/>
      </w:pPr>
      <w:r>
        <w:drawing>
          <wp:inline distT="0" distB="0" distL="0" distR="0">
            <wp:extent cx="5689600" cy="116840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1168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4. The differences can be seen below in the options populated (first is the discover messages, then the request </w:t>
      </w:r>
      <w:r>
        <w:rPr>
          <w:rtl w:val="0"/>
          <w:lang w:val="it-IT"/>
        </w:rPr>
        <w:t>message):</w:t>
      </w:r>
    </w:p>
    <w:p>
      <w:pPr>
        <w:pStyle w:val="Body"/>
        <w:bidi w:val="0"/>
      </w:pPr>
    </w:p>
    <w:p>
      <w:pPr>
        <w:pStyle w:val="Body"/>
        <w:bidi w:val="0"/>
      </w:pPr>
      <w:r>
        <w:drawing>
          <wp:inline distT="0" distB="0" distL="0" distR="0">
            <wp:extent cx="4419600" cy="1955800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tif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55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drawing>
          <wp:inline distT="0" distB="0" distL="0" distR="0">
            <wp:extent cx="4533900" cy="1663700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tif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663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5. The first set has transaction ID</w:t>
      </w:r>
    </w:p>
    <w:p>
      <w:pPr>
        <w:pStyle w:val="Body"/>
        <w:bidi w:val="0"/>
      </w:pPr>
      <w:r>
        <w:drawing>
          <wp:inline distT="0" distB="0" distL="0" distR="0">
            <wp:extent cx="2908300" cy="444500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sted-image.tif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444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and the second has transaction ID</w:t>
      </w:r>
    </w:p>
    <w:p>
      <w:pPr>
        <w:pStyle w:val="Body"/>
        <w:bidi w:val="0"/>
      </w:pPr>
      <w:r>
        <w:drawing>
          <wp:inline distT="0" distB="0" distL="0" distR="0">
            <wp:extent cx="2794000" cy="609600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sted-image.tiff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609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0"/>
      </w:pPr>
      <w:r>
        <w:rPr>
          <w:rtl w:val="0"/>
        </w:rPr>
        <w:t>The purpose of this field is to make sure that the same set of DHCP messages are not intermixed with a different set by the DHCP server or the host.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6.  See the below picture. The left IP address is the source and the right address is the destination:</w:t>
      </w:r>
    </w:p>
    <w:p>
      <w:pPr>
        <w:pStyle w:val="Body"/>
        <w:bidi w:val="0"/>
      </w:pPr>
    </w:p>
    <w:p>
      <w:pPr>
        <w:pStyle w:val="Body"/>
        <w:bidi w:val="0"/>
      </w:pPr>
      <w:r>
        <w:drawing>
          <wp:inline distT="0" distB="0" distL="0" distR="0">
            <wp:extent cx="5943600" cy="852129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1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Body"/>
        <w:bidi w:val="0"/>
      </w:pPr>
      <w:r>
        <w:rPr>
          <w:rtl w:val="0"/>
        </w:rPr>
        <w:t>7. See above picture. The IP address of the DHCP server is 192.168.1.1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8. See above picture. The DHCP server has offered 192.168.1.2 to my host. This is in the </w:t>
      </w:r>
      <w:r>
        <w:rPr>
          <w:rtl w:val="0"/>
        </w:rPr>
        <w:t>“</w:t>
      </w:r>
      <w:r>
        <w:rPr>
          <w:rtl w:val="0"/>
        </w:rPr>
        <w:t>DHCP Offer</w:t>
      </w:r>
      <w:r>
        <w:rPr>
          <w:rtl w:val="0"/>
        </w:rPr>
        <w:t xml:space="preserve">” </w:t>
      </w:r>
      <w:r>
        <w:rPr>
          <w:rtl w:val="0"/>
        </w:rPr>
        <w:t>message.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9. This is shown by the relay agent IP address of 0.0.0.0. In my example, there is also no relay agent:</w:t>
      </w:r>
    </w:p>
    <w:p>
      <w:pPr>
        <w:pStyle w:val="Body"/>
        <w:bidi w:val="0"/>
      </w:pPr>
      <w:r>
        <w:drawing>
          <wp:inline distT="0" distB="0" distL="0" distR="0">
            <wp:extent cx="3848100" cy="863600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asted-image.tiff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6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10. These lines inform the host of the Default Gateway and the size of its local network.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11. The client does not yet accept this IP address. In the client</w:t>
      </w:r>
      <w:r>
        <w:rPr>
          <w:rtl w:val="0"/>
        </w:rPr>
        <w:t>’</w:t>
      </w:r>
      <w:r>
        <w:rPr>
          <w:rtl w:val="0"/>
        </w:rPr>
        <w:t>s response, the IP address can be found in the Option 50 (Requested IP address field).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12. The purpose of the lease time is so that an IP address is not permanently reserved. My lease tie is 1 day.</w:t>
      </w:r>
    </w:p>
    <w:p>
      <w:pPr>
        <w:pStyle w:val="Body"/>
        <w:bidi w:val="0"/>
      </w:pPr>
      <w:r>
        <w:drawing>
          <wp:inline distT="0" distB="0" distL="0" distR="0">
            <wp:extent cx="4457700" cy="825500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asted-image.tiff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25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13. Its purpose is to revoke the assigned IP address. The DHCP server does not issue an acknowledgement of this. If the client</w:t>
      </w:r>
      <w:r>
        <w:rPr>
          <w:rtl w:val="0"/>
        </w:rPr>
        <w:t>’</w:t>
      </w:r>
      <w:r>
        <w:rPr>
          <w:rtl w:val="0"/>
        </w:rPr>
        <w:t>s message is lost, messages to that IP address will still be routed to this MAC address.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14. Yes, there were many. This is due to a new host joining the network and requesting the MAC addresses of other local machines (including the router, etc.).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/>
    </w:p>
    <w:sectPr>
      <w:headerReference w:type="default" r:id="rId14"/>
      <w:footerReference w:type="default" r:id="rId1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2.tif"/><Relationship Id="rId6" Type="http://schemas.openxmlformats.org/officeDocument/2006/relationships/image" Target="media/image3.tif"/><Relationship Id="rId7" Type="http://schemas.openxmlformats.org/officeDocument/2006/relationships/image" Target="media/image4.tif"/><Relationship Id="rId8" Type="http://schemas.openxmlformats.org/officeDocument/2006/relationships/image" Target="media/image5.tif"/><Relationship Id="rId9" Type="http://schemas.openxmlformats.org/officeDocument/2006/relationships/image" Target="media/image6.tif"/><Relationship Id="rId10" Type="http://schemas.openxmlformats.org/officeDocument/2006/relationships/image" Target="media/image7.tif"/><Relationship Id="rId11" Type="http://schemas.openxmlformats.org/officeDocument/2006/relationships/image" Target="media/image8.tif"/><Relationship Id="rId12" Type="http://schemas.openxmlformats.org/officeDocument/2006/relationships/image" Target="media/image9.tif"/><Relationship Id="rId13" Type="http://schemas.openxmlformats.org/officeDocument/2006/relationships/image" Target="media/image10.tif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