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MT Conseil — Rapport d'audit énergétique (PROVISOIRE)</w:t>
      </w:r>
    </w:p>
    <w:p>
      <w:r>
        <w:t xml:space="preserve">Client : {client}</w:t>
      </w:r>
    </w:p>
    <w:p>
      <w:r>
        <w:t xml:space="preserve">Adresse : {adresse}</w:t>
      </w:r>
    </w:p>
    <w:p>
      <w:r>
        <w:t xml:space="preserve">Statut : {statut}</w:t>
      </w:r>
    </w:p>
    <w:p>
      <w:r>
        <w:t xml:space="preserve"/>
      </w:r>
    </w:p>
    <w:p>
      <w:r>
        <w:t xml:space="preserve">Équipements :</w:t>
      </w:r>
    </w:p>
    <w:p>
      <w:r>
        <w:t xml:space="preserve">{#equipements}</w:t>
      </w:r>
    </w:p>
    <w:p>
      <w:r>
        <w:t xml:space="preserve">- {nom} : {puissance_valeur} {puissance_unite} → {conso_kwh_an} kWh/an</w:t>
      </w:r>
    </w:p>
    <w:p>
      <w:r>
        <w:t xml:space="preserve">{/equipements}</w:t>
      </w:r>
    </w:p>
    <w:sectPr/>
  </w:body>
</w:document>
</file>