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F3FC" w14:textId="77777777" w:rsidR="00AD5970" w:rsidRPr="00AD5970" w:rsidRDefault="00AD5970" w:rsidP="00AD597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AD5970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Cybersecurity</w:t>
      </w:r>
    </w:p>
    <w:p w14:paraId="3A87B2DC" w14:textId="77777777" w:rsidR="00AD5970" w:rsidRPr="00AD5970" w:rsidRDefault="00AD5970" w:rsidP="00AD5970">
      <w:pPr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Segoe UI"/>
          <w:color w:val="565656"/>
          <w:sz w:val="27"/>
          <w:szCs w:val="27"/>
          <w:lang w:eastAsia="it-IT"/>
        </w:rPr>
      </w:pPr>
      <w:r w:rsidRPr="00AD5970">
        <w:rPr>
          <w:rFonts w:ascii="Roboto" w:eastAsia="Times New Roman" w:hAnsi="Roboto" w:cs="Segoe UI"/>
          <w:color w:val="565656"/>
          <w:sz w:val="27"/>
          <w:szCs w:val="27"/>
          <w:lang w:eastAsia="it-IT"/>
        </w:rPr>
        <w:t>Slide del corso</w:t>
      </w:r>
    </w:p>
    <w:p w14:paraId="02E57121" w14:textId="77777777" w:rsidR="00AD5970" w:rsidRPr="00AD5970" w:rsidRDefault="00AD5970" w:rsidP="00AD5970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731A2E1" w14:textId="77777777" w:rsidR="00AD5970" w:rsidRPr="00AD5970" w:rsidRDefault="00AD5970" w:rsidP="00AD59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D5970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6426BCF" w14:textId="461EEDFA" w:rsidR="00AD5970" w:rsidRPr="00AD5970" w:rsidRDefault="00AD5970" w:rsidP="00AD5970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D5970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E6ED348" wp14:editId="25DDB96A">
                <wp:extent cx="304800" cy="304800"/>
                <wp:effectExtent l="0" t="0" r="0" b="0"/>
                <wp:docPr id="7" name="Rectángulo 7" descr="Non completata: 01. Cybersecurity (3.2.1)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A33C1" id="Rectángulo 7" o:spid="_x0000_s1026" alt="Non completata: 01. Cybersecurity (3.2.1)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2E950E" w14:textId="77777777" w:rsidR="00AD5970" w:rsidRPr="00AD5970" w:rsidRDefault="00AD5970" w:rsidP="00AD59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D5970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F18FE0C" w14:textId="598F1B57" w:rsidR="00AD5970" w:rsidRPr="00AD5970" w:rsidRDefault="00AD5970" w:rsidP="00AD5970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AD597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AD597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"https://fad.its-ictpiemonte.it/mod/resource/view.php?id=22741&amp;redirect=1" \t "_blank" </w:instrText>
      </w:r>
      <w:r w:rsidRPr="00AD597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AD5970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CAC3FC2" wp14:editId="076C1C87">
                <wp:extent cx="304800" cy="304800"/>
                <wp:effectExtent l="0" t="0" r="0" b="0"/>
                <wp:docPr id="6" name="Rectángulo 6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23222" id="Rectángulo 6" o:spid="_x0000_s1026" href="https://fad.its-ictpiemonte.it/mod/resource/view.php?id=22741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CD6E288" w14:textId="77777777" w:rsidR="00AD5970" w:rsidRPr="00AD5970" w:rsidRDefault="00AD5970" w:rsidP="00AD5970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D597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01. Cybersecurity (3.2.1)</w:t>
      </w:r>
    </w:p>
    <w:p w14:paraId="1ABD62E3" w14:textId="77777777" w:rsidR="00AD5970" w:rsidRPr="00AD5970" w:rsidRDefault="00AD5970" w:rsidP="00AD5970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AD597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6E874C05" w14:textId="77777777" w:rsidR="00AD5970" w:rsidRPr="00AD5970" w:rsidRDefault="00AD5970" w:rsidP="00AD5970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77C4670" w14:textId="77777777" w:rsidR="00AD5970" w:rsidRPr="00AD5970" w:rsidRDefault="00AD5970" w:rsidP="00AD59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D5970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55A722CF" w14:textId="6F607C88" w:rsidR="00AD5970" w:rsidRPr="00AD5970" w:rsidRDefault="00AD5970" w:rsidP="00AD5970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D5970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716BDB6" wp14:editId="166D04DE">
                <wp:extent cx="304800" cy="304800"/>
                <wp:effectExtent l="0" t="0" r="0" b="0"/>
                <wp:docPr id="5" name="Rectángulo 5" descr="Non completata: 02. Password management (3.4)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D9E3F" id="Rectángulo 5" o:spid="_x0000_s1026" alt="Non completata: 02. Password management (3.4)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EF3D2A" w14:textId="77777777" w:rsidR="00AD5970" w:rsidRPr="00AD5970" w:rsidRDefault="00AD5970" w:rsidP="00AD59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D5970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00A1F32" w14:textId="5D5717C1" w:rsidR="00AD5970" w:rsidRPr="00AD5970" w:rsidRDefault="00AD5970" w:rsidP="00AD5970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AD597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AD597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"https://fad.its-ictpiemonte.it/mod/resource/view.php?id=22742&amp;redirect=1" \t "_blank" </w:instrText>
      </w:r>
      <w:r w:rsidRPr="00AD597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AD5970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E78A67D" wp14:editId="11574DFA">
                <wp:extent cx="304800" cy="304800"/>
                <wp:effectExtent l="0" t="0" r="0" b="0"/>
                <wp:docPr id="4" name="Rectángulo 4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284C1" id="Rectángulo 4" o:spid="_x0000_s1026" href="https://fad.its-ictpiemonte.it/mod/resource/view.php?id=22742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F5B77B7" w14:textId="77777777" w:rsidR="00AD5970" w:rsidRPr="00AD5970" w:rsidRDefault="00AD5970" w:rsidP="00AD5970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D597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02. Password management (3.4)</w:t>
      </w:r>
    </w:p>
    <w:p w14:paraId="130C63F4" w14:textId="77777777" w:rsidR="00AD5970" w:rsidRPr="00AD5970" w:rsidRDefault="00AD5970" w:rsidP="00AD5970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AD597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D6338CB" w14:textId="77777777" w:rsidR="00AD5970" w:rsidRPr="00AD5970" w:rsidRDefault="00AD5970" w:rsidP="00AD597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4286A394" w14:textId="77777777" w:rsidR="00AD5970" w:rsidRPr="00AD5970" w:rsidRDefault="00AD5970" w:rsidP="00AD59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D5970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23E4AD1" w14:textId="6356285A" w:rsidR="00AD5970" w:rsidRPr="00AD5970" w:rsidRDefault="00AD5970" w:rsidP="00AD597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D5970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597EC2A" wp14:editId="26674887">
                <wp:extent cx="304800" cy="304800"/>
                <wp:effectExtent l="0" t="0" r="0" b="0"/>
                <wp:docPr id="3" name="Rectángulo 3" descr="Non completata: Lezione 1 - mercoledì 13 aprile 2022Argomenti trat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4F8558" id="Rectángulo 3" o:spid="_x0000_s1026" alt="Non completata: Lezione 1 - mercoledì 13 aprile 2022Argomenti trat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C91CE6" w14:textId="77777777" w:rsidR="00AD5970" w:rsidRPr="00AD5970" w:rsidRDefault="00AD5970" w:rsidP="00AD59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D5970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0668FC0" w14:textId="77777777" w:rsidR="00AD5970" w:rsidRPr="00AD5970" w:rsidRDefault="00AD5970" w:rsidP="00AD5970">
      <w:pPr>
        <w:shd w:val="clear" w:color="auto" w:fill="FFFFFF"/>
        <w:spacing w:after="100" w:afterAutospacing="1" w:line="240" w:lineRule="auto"/>
        <w:ind w:left="720"/>
        <w:outlineLvl w:val="3"/>
        <w:rPr>
          <w:rFonts w:ascii="Roboto" w:eastAsia="Times New Roman" w:hAnsi="Roboto" w:cs="Segoe UI"/>
          <w:color w:val="565656"/>
          <w:sz w:val="24"/>
          <w:szCs w:val="24"/>
          <w:lang w:eastAsia="it-IT"/>
        </w:rPr>
      </w:pPr>
      <w:r w:rsidRPr="00AD5970">
        <w:rPr>
          <w:rFonts w:ascii="Roboto" w:eastAsia="Times New Roman" w:hAnsi="Roboto" w:cs="Segoe UI"/>
          <w:color w:val="565656"/>
          <w:sz w:val="24"/>
          <w:szCs w:val="24"/>
          <w:lang w:eastAsia="it-IT"/>
        </w:rPr>
        <w:t>Lezione 1 - mercoledì 13 aprile 2022</w:t>
      </w:r>
    </w:p>
    <w:p w14:paraId="39A59DAE" w14:textId="77777777" w:rsidR="00AD5970" w:rsidRPr="00AD5970" w:rsidRDefault="00AD5970" w:rsidP="00AD597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 a lezione:</w:t>
      </w:r>
    </w:p>
    <w:p w14:paraId="219EE964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Il concetto di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sicurezza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: valutazione del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rischio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 la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minaccia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 il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danno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e la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probabilità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.</w:t>
      </w:r>
    </w:p>
    <w:p w14:paraId="686C5840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La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sicurezza informatica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: implicazioni e responsabilità a livello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personale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aziendale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e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nazionale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.</w:t>
      </w:r>
    </w:p>
    <w:p w14:paraId="1F826E90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Cyberwarfare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: la guerra cibernetica e l'esempio del malware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Stuxnet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.</w:t>
      </w:r>
    </w:p>
    <w:p w14:paraId="69D83F96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La triade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C.I.A.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: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confidenzialità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e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integrità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dei dati,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disponibilità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del servizio.</w:t>
      </w:r>
    </w:p>
    <w:p w14:paraId="280C3CF4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Tipologie di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attacchi informatici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: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attivi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(mascheramento, ripetizione, modifica e DOS) e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passivi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(intercettazione e analisi dei metadati).</w:t>
      </w:r>
    </w:p>
    <w:p w14:paraId="788B1FD9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Tipologie di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attaccanti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: "script kiddies", white/gray/black hat, organizzazioni e hacktivism, le minacce interne all'azienda.</w:t>
      </w:r>
    </w:p>
    <w:p w14:paraId="0C51C56A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Terminologia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di base: le </w:t>
      </w:r>
      <w:r w:rsidRPr="00AD5970">
        <w:rPr>
          <w:rFonts w:ascii="Georgia" w:eastAsia="Times New Roman" w:hAnsi="Georgia" w:cs="Segoe UI"/>
          <w:i/>
          <w:iCs/>
          <w:color w:val="565656"/>
          <w:sz w:val="30"/>
          <w:szCs w:val="30"/>
          <w:lang w:eastAsia="it-IT"/>
        </w:rPr>
        <w:t>vulnerabilità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(zero-day, exploit, rootkit, backdoor)</w:t>
      </w:r>
    </w:p>
    <w:p w14:paraId="380F3778" w14:textId="77777777" w:rsidR="00AD5970" w:rsidRPr="00AD5970" w:rsidRDefault="00AD5970" w:rsidP="00AD5970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3ACFC6C5" w14:textId="77777777" w:rsidR="00AD5970" w:rsidRPr="00AD5970" w:rsidRDefault="00AD5970" w:rsidP="00AD597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00934AE" w14:textId="77777777" w:rsidR="00AD5970" w:rsidRPr="00AD5970" w:rsidRDefault="00AD5970" w:rsidP="00AD59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D5970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C36CB22" w14:textId="46FC504E" w:rsidR="00AD5970" w:rsidRPr="00AD5970" w:rsidRDefault="00AD5970" w:rsidP="00AD597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D5970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04BF088" wp14:editId="2B7873B9">
                <wp:extent cx="304800" cy="304800"/>
                <wp:effectExtent l="0" t="0" r="0" b="0"/>
                <wp:docPr id="2" name="Rectángulo 2" descr="Non completata: Lezione 2 - mercoledì 20 aprile 2022Argomenti trat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A24989" id="Rectángulo 2" o:spid="_x0000_s1026" alt="Non completata: Lezione 2 - mercoledì 20 aprile 2022Argomenti trat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1B9B9D" w14:textId="77777777" w:rsidR="00AD5970" w:rsidRPr="00AD5970" w:rsidRDefault="00AD5970" w:rsidP="00AD59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D5970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172D9BB9" w14:textId="77777777" w:rsidR="00AD5970" w:rsidRPr="00AD5970" w:rsidRDefault="00AD5970" w:rsidP="00AD5970">
      <w:pPr>
        <w:shd w:val="clear" w:color="auto" w:fill="FFFFFF"/>
        <w:spacing w:after="100" w:afterAutospacing="1" w:line="240" w:lineRule="auto"/>
        <w:ind w:left="720"/>
        <w:outlineLvl w:val="3"/>
        <w:rPr>
          <w:rFonts w:ascii="Roboto" w:eastAsia="Times New Roman" w:hAnsi="Roboto" w:cs="Segoe UI"/>
          <w:color w:val="565656"/>
          <w:sz w:val="24"/>
          <w:szCs w:val="24"/>
          <w:lang w:eastAsia="it-IT"/>
        </w:rPr>
      </w:pPr>
      <w:r w:rsidRPr="00AD5970">
        <w:rPr>
          <w:rFonts w:ascii="Roboto" w:eastAsia="Times New Roman" w:hAnsi="Roboto" w:cs="Segoe UI"/>
          <w:color w:val="565656"/>
          <w:sz w:val="24"/>
          <w:szCs w:val="24"/>
          <w:lang w:eastAsia="it-IT"/>
        </w:rPr>
        <w:t>Lezione 2 - mercoledì 20 aprile 2022</w:t>
      </w:r>
    </w:p>
    <w:p w14:paraId="4BBBB8D6" w14:textId="77777777" w:rsidR="00AD5970" w:rsidRPr="00AD5970" w:rsidRDefault="00AD5970" w:rsidP="00AD597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 a lezione (Blocco slide 1):</w:t>
      </w:r>
    </w:p>
    <w:p w14:paraId="7BAEBF28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Differenza tra vulnerabilità software, hardware e dei protocolli;</w:t>
      </w:r>
    </w:p>
    <w:p w14:paraId="79E8646E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Tipologie di malware: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virus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trojan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worm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ransomware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botnet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spyware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keylogger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scareware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;</w:t>
      </w:r>
    </w:p>
    <w:p w14:paraId="6361B663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Scenari di attacco estremi: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thermal attack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e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keystroke attack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.</w:t>
      </w:r>
    </w:p>
    <w:p w14:paraId="369ED97E" w14:textId="77777777" w:rsidR="00AD5970" w:rsidRPr="00AD5970" w:rsidRDefault="00AD5970" w:rsidP="00AD597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Blocco Slide 2:</w:t>
      </w:r>
    </w:p>
    <w:p w14:paraId="070A9556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Il controllo degli accessi: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autenticazione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e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autorizzazione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;</w:t>
      </w:r>
    </w:p>
    <w:p w14:paraId="3C0FC08F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Principali tecniche di intrusione: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password di default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social engineering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attacchi a dizionario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attacchi a forza bruta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;</w:t>
      </w:r>
    </w:p>
    <w:p w14:paraId="435B1041" w14:textId="77777777" w:rsidR="00AD5970" w:rsidRPr="00AD5970" w:rsidRDefault="00AD5970" w:rsidP="00AD597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78B7372" w14:textId="77777777" w:rsidR="00AD5970" w:rsidRPr="00AD5970" w:rsidRDefault="00AD5970" w:rsidP="00AD59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D5970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5BD88A1E" w14:textId="564FD75E" w:rsidR="00AD5970" w:rsidRPr="00AD5970" w:rsidRDefault="00AD5970" w:rsidP="00AD597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D5970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3C57731D" wp14:editId="59B02A33">
                <wp:extent cx="304800" cy="304800"/>
                <wp:effectExtent l="0" t="0" r="0" b="0"/>
                <wp:docPr id="1" name="Rectángulo 1" descr="Non completata: Lezione 3 - mercoledì 27 aprile 2022Argomenti trat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DB2A3" id="Rectángulo 1" o:spid="_x0000_s1026" alt="Non completata: Lezione 3 - mercoledì 27 aprile 2022Argomenti trat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379976" w14:textId="77777777" w:rsidR="00AD5970" w:rsidRPr="00AD5970" w:rsidRDefault="00AD5970" w:rsidP="00AD59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D5970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907014E" w14:textId="77777777" w:rsidR="00AD5970" w:rsidRPr="00AD5970" w:rsidRDefault="00AD5970" w:rsidP="00AD5970">
      <w:pPr>
        <w:shd w:val="clear" w:color="auto" w:fill="FFFFFF"/>
        <w:spacing w:after="100" w:afterAutospacing="1" w:line="240" w:lineRule="auto"/>
        <w:ind w:left="720"/>
        <w:outlineLvl w:val="3"/>
        <w:rPr>
          <w:rFonts w:ascii="Roboto" w:eastAsia="Times New Roman" w:hAnsi="Roboto" w:cs="Segoe UI"/>
          <w:color w:val="565656"/>
          <w:sz w:val="24"/>
          <w:szCs w:val="24"/>
          <w:lang w:eastAsia="it-IT"/>
        </w:rPr>
      </w:pPr>
      <w:r w:rsidRPr="00AD5970">
        <w:rPr>
          <w:rFonts w:ascii="Roboto" w:eastAsia="Times New Roman" w:hAnsi="Roboto" w:cs="Segoe UI"/>
          <w:color w:val="565656"/>
          <w:sz w:val="24"/>
          <w:szCs w:val="24"/>
          <w:lang w:eastAsia="it-IT"/>
        </w:rPr>
        <w:t>Lezione 3 - mercoledì 27 aprile 2022</w:t>
      </w:r>
    </w:p>
    <w:p w14:paraId="1CCA0B71" w14:textId="77777777" w:rsidR="00AD5970" w:rsidRPr="00AD5970" w:rsidRDefault="00AD5970" w:rsidP="00AD5970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 a lezione (blocco slide 2)</w:t>
      </w:r>
    </w:p>
    <w:p w14:paraId="0E25BC81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Definizione e misura dell'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entropia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di una stringa per la costruzione di una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password casuale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;</w:t>
      </w:r>
    </w:p>
    <w:p w14:paraId="58BD5B28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Calcolo dei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tempi di brute-force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per una password casuale a seconda della lunghezza e dell'alfabeto;</w:t>
      </w:r>
    </w:p>
    <w:p w14:paraId="735EF381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Brute-force con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ricerca euristica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quando le password non sono casuali;</w:t>
      </w:r>
    </w:p>
    <w:p w14:paraId="1CB0A43C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Il problema del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credential stuffing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: statistiche e problemi derivanti dal riutilizzo delle password;</w:t>
      </w:r>
    </w:p>
    <w:p w14:paraId="3F995BC0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Il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phishing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, le varie tipologie e strumenti di prevenzione;</w:t>
      </w:r>
    </w:p>
    <w:p w14:paraId="7961B94D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Uso dei 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password manager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per gestire in sicurezza le password;</w:t>
      </w:r>
    </w:p>
    <w:p w14:paraId="350EB609" w14:textId="77777777" w:rsidR="00AD5970" w:rsidRPr="00AD5970" w:rsidRDefault="00AD5970" w:rsidP="00AD59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Definizione e uso dell'</w:t>
      </w:r>
      <w:r w:rsidRPr="00AD5970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autenticazione multifattore</w:t>
      </w:r>
      <w:r w:rsidRPr="00AD597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.</w:t>
      </w:r>
    </w:p>
    <w:p w14:paraId="665F0E89" w14:textId="77777777" w:rsidR="00BC6E9E" w:rsidRDefault="00BC6E9E"/>
    <w:sectPr w:rsidR="00BC6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5B6"/>
    <w:multiLevelType w:val="multilevel"/>
    <w:tmpl w:val="BBE4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40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9E"/>
    <w:rsid w:val="00AD5970"/>
    <w:rsid w:val="00B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F4450-8295-4FCE-B18B-3DC314E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5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AD5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tulo4">
    <w:name w:val="heading 4"/>
    <w:basedOn w:val="Normal"/>
    <w:link w:val="Ttulo4Car"/>
    <w:uiPriority w:val="9"/>
    <w:qFormat/>
    <w:rsid w:val="00AD59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597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AD597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tulo4Car">
    <w:name w:val="Título 4 Car"/>
    <w:basedOn w:val="Fuentedeprrafopredeter"/>
    <w:link w:val="Ttulo4"/>
    <w:uiPriority w:val="9"/>
    <w:rsid w:val="00AD5970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AD5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59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5970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59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5970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AD5970"/>
    <w:rPr>
      <w:color w:val="0000FF"/>
      <w:u w:val="single"/>
    </w:rPr>
  </w:style>
  <w:style w:type="paragraph" w:customStyle="1" w:styleId="instancename">
    <w:name w:val="instancename"/>
    <w:basedOn w:val="Normal"/>
    <w:rsid w:val="00AD5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AD5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xtoennegrita">
    <w:name w:val="Strong"/>
    <w:basedOn w:val="Fuentedeprrafopredeter"/>
    <w:uiPriority w:val="22"/>
    <w:qFormat/>
    <w:rsid w:val="00AD5970"/>
    <w:rPr>
      <w:b/>
      <w:bCs/>
    </w:rPr>
  </w:style>
  <w:style w:type="character" w:styleId="nfasis">
    <w:name w:val="Emphasis"/>
    <w:basedOn w:val="Fuentedeprrafopredeter"/>
    <w:uiPriority w:val="20"/>
    <w:qFormat/>
    <w:rsid w:val="00AD59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9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19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9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4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2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11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22742&amp;redirect=1" TargetMode="External"/><Relationship Id="rId5" Type="http://schemas.openxmlformats.org/officeDocument/2006/relationships/hyperlink" Target="https://fad.its-ictpiemonte.it/mod/resource/view.php?id=22741&amp;redirec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2022-11-08T21:49:00Z</dcterms:created>
  <dcterms:modified xsi:type="dcterms:W3CDTF">2022-11-08T21:49:00Z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2022-11-08T21:49:23Z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c0cb47ce-ad02-4a57-948c-5ce614a8a2a1</vt:lpwstr>
  </property>
  <property fmtid="{D5CDD505-2E9C-101B-9397-08002B2CF9AE}" pid="8" name="MSIP_Label_defa4170-0d19-0005-0004-bc88714345d2_ContentBits">
    <vt:lpwstr>0</vt:lpwstr>
  </property>
</Properties>
</file>