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6C865BE2" w14:textId="77777777" w:rsidR="00493339" w:rsidRPr="0020521C" w:rsidRDefault="00493339" w:rsidP="0020521C">
      <w:pPr>
        <w:pStyle w:val="HPUHeader"/>
      </w:pPr>
      <w:r w:rsidRPr="00493339">
        <w:t>Textbooks and Required Course Materials</w:t>
      </w:r>
    </w:p>
    <w:p w14:paraId="797FD3FA" w14:textId="30B9F38F"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r w:rsidR="00B63143">
        <w:t xml:space="preserve"> Students in this course are expected to design and develop a playable video game, which is a monumental task. While students are expected to use skills and knowledge gained over the course of their time at HPU, students will also likely spend many hours this semester on independent research on game development related to the student’s game development role.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7F4FEF52"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p>
    <w:p w14:paraId="7B23D3FC" w14:textId="77777777" w:rsidR="004F2E9E" w:rsidRPr="004F2E9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p>
    <w:p w14:paraId="3C69E486" w14:textId="389D070A" w:rsidR="00503045" w:rsidRPr="000648BE" w:rsidRDefault="000648BE" w:rsidP="004F2E9E">
      <w:pPr>
        <w:pStyle w:val="Heag-body-copy"/>
        <w:ind w:left="720"/>
        <w:rPr>
          <w:rFonts w:ascii="Times New Roman" w:hAnsi="Times New Roman"/>
          <w:sz w:val="24"/>
          <w:szCs w:val="24"/>
        </w:rPr>
      </w:pPr>
      <w:r>
        <w:br/>
      </w:r>
      <w:r w:rsidR="004F2E9E">
        <w:rPr>
          <w:rFonts w:ascii="Times New Roman" w:hAnsi="Times New Roman"/>
          <w:sz w:val="24"/>
          <w:szCs w:val="24"/>
        </w:rPr>
        <w:t>A</w:t>
      </w:r>
      <w:r w:rsidR="00503045">
        <w:t xml:space="preserve"> panel of faculty will choose a game at this point to represent HPU at a game design conference. Students who developed </w:t>
      </w:r>
      <w:proofErr w:type="gramStart"/>
      <w:r w:rsidR="00503045">
        <w:t>chosen</w:t>
      </w:r>
      <w:proofErr w:type="gramEnd"/>
      <w:r w:rsidR="00503045">
        <w:t xml:space="preserve">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6FE81DB9"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w:t>
      </w:r>
      <w:proofErr w:type="gramStart"/>
      <w:r w:rsidR="007F1AB3" w:rsidRPr="007F1AB3">
        <w:t>slideshow</w:t>
      </w:r>
      <w:proofErr w:type="gramEnd"/>
      <w:r w:rsidR="00B404FB" w:rsidRPr="007F1AB3">
        <w:t xml:space="preserve"> on their specialization (or game development topic of choice</w:t>
      </w:r>
      <w:r w:rsidR="007F1AB3">
        <w:t>)</w:t>
      </w:r>
      <w:r w:rsidR="007F1AB3" w:rsidRPr="007F1AB3">
        <w:t>.</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75ED59AE" w:rsidR="009A7828" w:rsidRPr="004F2E9E" w:rsidRDefault="00B63143" w:rsidP="000648BE">
      <w:pPr>
        <w:pStyle w:val="Heag-body-copy"/>
        <w:numPr>
          <w:ilvl w:val="0"/>
          <w:numId w:val="3"/>
        </w:numPr>
        <w:rPr>
          <w:rFonts w:ascii="Times New Roman" w:hAnsi="Times New Roman"/>
          <w:sz w:val="24"/>
          <w:szCs w:val="24"/>
        </w:rPr>
      </w:pPr>
      <w:r>
        <w:rPr>
          <w:b/>
          <w:bCs/>
        </w:rPr>
        <w:t>Sprints</w:t>
      </w:r>
      <w:r w:rsidR="000648BE">
        <w:rPr>
          <w:b/>
          <w:bCs/>
        </w:rPr>
        <w:t xml:space="preserve"> (20% of grade) </w:t>
      </w:r>
      <w:r w:rsidR="000648BE" w:rsidRPr="000648BE">
        <w:t>All students are required to be a fully participating member of their group, which means completing tasks and deliverables on a</w:t>
      </w:r>
      <w:r>
        <w:t xml:space="preserve"> regular basis. We will be organizing our development time into sprints, or 2-week devel</w:t>
      </w:r>
      <w:r w:rsidR="004F2E9E">
        <w:t>o</w:t>
      </w:r>
      <w:r>
        <w:t>pment cycles. During each 2-week sprint, each student will have very specific responsibilities and goals to achieve. Participation in the sprint will be assessed</w:t>
      </w:r>
      <w:r w:rsidR="000648BE" w:rsidRPr="000648BE">
        <w:t xml:space="preserve"> by the professor during in-class check-ins</w:t>
      </w:r>
      <w:r>
        <w:t>.</w:t>
      </w:r>
    </w:p>
    <w:p w14:paraId="13744516" w14:textId="77777777" w:rsidR="004F2E9E" w:rsidRPr="00494CBC" w:rsidRDefault="004F2E9E" w:rsidP="000648BE">
      <w:pPr>
        <w:pStyle w:val="Heag-body-copy"/>
        <w:numPr>
          <w:ilvl w:val="0"/>
          <w:numId w:val="3"/>
        </w:numPr>
        <w:rPr>
          <w:rFonts w:ascii="Times New Roman" w:hAnsi="Times New Roman"/>
          <w:sz w:val="24"/>
          <w:szCs w:val="24"/>
        </w:rPr>
      </w:pP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0D39D74A" w:rsidR="00317630" w:rsidRDefault="00317630" w:rsidP="00317630">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Pr="004F2E9E" w:rsidRDefault="00D7040A" w:rsidP="004F2E9E">
      <w:pPr>
        <w:pStyle w:val="HPUHeader"/>
      </w:pPr>
      <w:r w:rsidRPr="004F2E9E">
        <w:t>OARS ACCOMMODATIONS IN THE CLASSROOM</w:t>
      </w:r>
    </w:p>
    <w:p w14:paraId="45A2F48D"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If you have an OARS accommodation letter, you are required to do the following:</w:t>
      </w:r>
    </w:p>
    <w:p w14:paraId="09C48EB8"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in a way that helps make you successful.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 xml:space="preserve"> will be implemented only after we meet to discuss the best path for your success.</w:t>
      </w:r>
    </w:p>
    <w:p w14:paraId="54A3E47C"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 xml:space="preserve">(B) Give me reasonable notice (at least three business days) to implement your </w:t>
      </w:r>
      <w:proofErr w:type="gramStart"/>
      <w:r w:rsidRPr="004F2E9E">
        <w:rPr>
          <w:rFonts w:ascii="Century Gothic" w:hAnsi="Century Gothic"/>
          <w:color w:val="000000"/>
          <w:sz w:val="22"/>
          <w:szCs w:val="22"/>
        </w:rPr>
        <w:t>accommodations</w:t>
      </w:r>
      <w:proofErr w:type="gramEnd"/>
      <w:r w:rsidRPr="004F2E9E">
        <w:rPr>
          <w:rFonts w:ascii="Century Gothic" w:hAnsi="Century Gothic"/>
          <w:color w:val="000000"/>
          <w:sz w:val="22"/>
          <w:szCs w:val="22"/>
        </w:rPr>
        <w:t>.</w:t>
      </w:r>
    </w:p>
    <w:p w14:paraId="2E81595E" w14:textId="77777777"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50E9C8BD" w14:textId="493BD60B" w:rsidR="00D7040A" w:rsidRPr="004F2E9E" w:rsidRDefault="00D7040A" w:rsidP="00D7040A">
      <w:pPr>
        <w:pStyle w:val="NormalWeb"/>
        <w:rPr>
          <w:rFonts w:ascii="Century Gothic" w:hAnsi="Century Gothic"/>
          <w:color w:val="000000"/>
          <w:sz w:val="22"/>
          <w:szCs w:val="22"/>
        </w:rPr>
      </w:pPr>
      <w:r w:rsidRPr="004F2E9E">
        <w:rPr>
          <w:rFonts w:ascii="Century Gothic" w:hAnsi="Century Gothic"/>
          <w:color w:val="000000"/>
          <w:sz w:val="22"/>
          <w:szCs w:val="22"/>
        </w:rPr>
        <w:lastRenderedPageBreak/>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F2E9E">
      <w:pPr>
        <w:pStyle w:val="HPUHeader"/>
        <w:jc w:val="center"/>
      </w:pPr>
      <w:bookmarkStart w:id="3" w:name="_Hlk123809152"/>
      <w:r w:rsidRPr="004F2E9E">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lastRenderedPageBreak/>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10064" w:type="dxa"/>
        <w:tblCellMar>
          <w:left w:w="0" w:type="dxa"/>
          <w:right w:w="0" w:type="dxa"/>
        </w:tblCellMar>
        <w:tblLook w:val="04A0" w:firstRow="1" w:lastRow="0" w:firstColumn="1" w:lastColumn="0" w:noHBand="0" w:noVBand="1"/>
      </w:tblPr>
      <w:tblGrid>
        <w:gridCol w:w="1201"/>
        <w:gridCol w:w="924"/>
        <w:gridCol w:w="1364"/>
        <w:gridCol w:w="1758"/>
        <w:gridCol w:w="3005"/>
        <w:gridCol w:w="1812"/>
      </w:tblGrid>
      <w:tr w:rsidR="004F2E9E" w:rsidRPr="005F7109" w14:paraId="14087411" w14:textId="77777777" w:rsidTr="00DB4FC5">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4F2E9E" w:rsidRPr="005F7109" w14:paraId="075C1049"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67963824" w:rsidR="005F7109" w:rsidRPr="004F2E9E" w:rsidRDefault="004F2E9E" w:rsidP="005F7109">
            <w:pPr>
              <w:spacing w:after="0" w:line="240" w:lineRule="auto"/>
              <w:jc w:val="center"/>
              <w:rPr>
                <w:rFonts w:ascii="Arial" w:eastAsia="Times New Roman" w:hAnsi="Arial" w:cs="Arial"/>
                <w:sz w:val="20"/>
                <w:szCs w:val="20"/>
              </w:rPr>
            </w:pPr>
            <w:r w:rsidRPr="004F2E9E">
              <w:rPr>
                <w:rFonts w:ascii="Arial" w:eastAsia="Times New Roman" w:hAnsi="Arial" w:cs="Arial"/>
                <w:sz w:val="20"/>
                <w:szCs w:val="20"/>
              </w:rPr>
              <w:t>Breaking into groups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4F2E9E" w:rsidRPr="005F7109" w14:paraId="270861D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18F056FF" w:rsidR="005F7109" w:rsidRPr="004F2E9E" w:rsidRDefault="004F2E9E" w:rsidP="005F7109">
            <w:pPr>
              <w:spacing w:after="0" w:line="240" w:lineRule="auto"/>
              <w:jc w:val="center"/>
              <w:rPr>
                <w:rFonts w:ascii="Arial" w:eastAsia="Times New Roman" w:hAnsi="Arial" w:cs="Arial"/>
                <w:sz w:val="20"/>
                <w:szCs w:val="20"/>
              </w:rPr>
            </w:pPr>
            <w:r w:rsidRPr="004F2E9E">
              <w:rPr>
                <w:rFonts w:ascii="Arial" w:eastAsia="Times New Roman" w:hAnsi="Arial" w:cs="Arial"/>
                <w:sz w:val="20"/>
                <w:szCs w:val="20"/>
              </w:rPr>
              <w:t>Brainstorming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4F2E9E" w:rsidRPr="005F7109" w14:paraId="64402EF3"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19F719E7" w:rsidR="005F7109" w:rsidRPr="004F2E9E" w:rsidRDefault="004F2E9E" w:rsidP="005F7109">
            <w:pPr>
              <w:spacing w:after="0" w:line="240" w:lineRule="auto"/>
              <w:jc w:val="center"/>
              <w:rPr>
                <w:rFonts w:ascii="Arial" w:eastAsia="Times New Roman" w:hAnsi="Arial" w:cs="Arial"/>
                <w:sz w:val="20"/>
                <w:szCs w:val="20"/>
              </w:rPr>
            </w:pPr>
            <w:r w:rsidRPr="004F2E9E">
              <w:rPr>
                <w:rFonts w:ascii="Arial" w:eastAsia="Times New Roman" w:hAnsi="Arial" w:cs="Arial"/>
                <w:sz w:val="20"/>
                <w:szCs w:val="20"/>
              </w:rPr>
              <w:t>Developing prototypes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4F2E9E" w:rsidRPr="005F7109" w14:paraId="61421FEE"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0CF9C5F0" w:rsidR="004F2E9E" w:rsidRPr="004F2E9E" w:rsidRDefault="004F2E9E" w:rsidP="004F2E9E">
            <w:pPr>
              <w:spacing w:after="0" w:line="240" w:lineRule="auto"/>
              <w:jc w:val="center"/>
              <w:rPr>
                <w:rFonts w:ascii="Arial" w:eastAsia="Times New Roman" w:hAnsi="Arial" w:cs="Arial"/>
                <w:sz w:val="20"/>
                <w:szCs w:val="20"/>
              </w:rPr>
            </w:pPr>
            <w:r w:rsidRPr="004F2E9E">
              <w:rPr>
                <w:rFonts w:ascii="Arial" w:eastAsia="Times New Roman" w:hAnsi="Arial" w:cs="Arial"/>
                <w:sz w:val="20"/>
                <w:szCs w:val="20"/>
              </w:rPr>
              <w:t>Developing prototypes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664B4D59" w14:textId="77777777" w:rsidTr="00DB4FC5">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9C5FF93" w:rsidR="004F2E9E" w:rsidRPr="005F7109" w:rsidRDefault="004F2E9E" w:rsidP="004F2E9E">
            <w:pPr>
              <w:spacing w:after="0" w:line="240" w:lineRule="auto"/>
              <w:jc w:val="center"/>
              <w:rPr>
                <w:rFonts w:ascii="Arial" w:eastAsia="Times New Roman" w:hAnsi="Arial" w:cs="Arial"/>
                <w:sz w:val="20"/>
                <w:szCs w:val="20"/>
              </w:rPr>
            </w:pPr>
            <w:r w:rsidRPr="004F2E9E">
              <w:rPr>
                <w:rFonts w:ascii="Arial" w:eastAsia="Times New Roman" w:hAnsi="Arial" w:cs="Arial"/>
                <w:b/>
                <w:bCs/>
                <w:sz w:val="20"/>
                <w:szCs w:val="20"/>
              </w:rPr>
              <w:t>Assignment:</w:t>
            </w:r>
            <w:r>
              <w:rPr>
                <w:rFonts w:ascii="Arial" w:eastAsia="Times New Roman" w:hAnsi="Arial" w:cs="Arial"/>
                <w:sz w:val="20"/>
                <w:szCs w:val="20"/>
              </w:rPr>
              <w:t xml:space="preserve"> </w:t>
            </w: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4F2E9E" w:rsidRPr="005F7109" w14:paraId="190B3339"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2F77D4B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4F2E9E" w:rsidRPr="005F7109" w14:paraId="78CCDE55"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00EC900A"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 1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72D810EC"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4F2E9E" w:rsidRPr="005F7109" w14:paraId="495339B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557B1B2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4F2E9E" w:rsidRPr="005F7109" w14:paraId="6BD56FF3" w14:textId="77777777" w:rsidTr="00DB4FC5">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CC597B3"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 2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37581476"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4F2E9E" w:rsidRPr="005F7109" w14:paraId="5A81B7E0"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24DA5EDE"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4F2E9E" w:rsidRPr="005F7109" w14:paraId="12E394DE"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3F57C42B"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 3 (</w:t>
            </w:r>
            <w:r w:rsidRPr="005F7109">
              <w:rPr>
                <w:rFonts w:ascii="Arial" w:eastAsia="Times New Roman" w:hAnsi="Arial" w:cs="Arial"/>
                <w:sz w:val="20"/>
                <w:szCs w:val="20"/>
              </w:rPr>
              <w:t>Alpha</w:t>
            </w:r>
            <w:r>
              <w:rPr>
                <w:rFonts w:ascii="Arial" w:eastAsia="Times New Roman" w:hAnsi="Arial" w:cs="Arial"/>
                <w:sz w:val="20"/>
                <w:szCs w:val="20"/>
              </w:rPr>
              <w:t>)</w:t>
            </w:r>
            <w:r w:rsidRPr="005F7109">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449BB43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4F2E9E" w:rsidRPr="005F7109" w:rsidRDefault="004F2E9E" w:rsidP="004F2E9E">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4F2E9E" w:rsidRPr="005F7109" w:rsidRDefault="004F2E9E" w:rsidP="004F2E9E">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4F2E9E" w:rsidRPr="005F7109" w:rsidRDefault="004F2E9E" w:rsidP="004F2E9E">
            <w:pPr>
              <w:spacing w:after="0" w:line="240" w:lineRule="auto"/>
              <w:jc w:val="center"/>
              <w:rPr>
                <w:rFonts w:ascii="Times New Roman" w:eastAsia="Times New Roman" w:hAnsi="Times New Roman" w:cs="Times New Roman"/>
                <w:sz w:val="20"/>
                <w:szCs w:val="20"/>
              </w:rPr>
            </w:pPr>
          </w:p>
        </w:tc>
      </w:tr>
      <w:tr w:rsidR="004F2E9E" w:rsidRPr="005F7109" w14:paraId="2EECD2BA"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4F2E9E" w:rsidRPr="005F7109" w:rsidRDefault="004F2E9E" w:rsidP="004F2E9E">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4F2E9E" w:rsidRPr="005F7109" w:rsidRDefault="004F2E9E" w:rsidP="004F2E9E">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4F2E9E" w:rsidRPr="005F7109" w:rsidRDefault="004F2E9E" w:rsidP="004F2E9E">
            <w:pPr>
              <w:spacing w:after="0" w:line="240" w:lineRule="auto"/>
              <w:rPr>
                <w:rFonts w:ascii="Times New Roman" w:eastAsia="Times New Roman" w:hAnsi="Times New Roman" w:cs="Times New Roman"/>
                <w:sz w:val="20"/>
                <w:szCs w:val="20"/>
              </w:rPr>
            </w:pPr>
          </w:p>
        </w:tc>
      </w:tr>
      <w:tr w:rsidR="004F2E9E" w:rsidRPr="005F7109" w14:paraId="6ACC28DD" w14:textId="77777777" w:rsidTr="006F331E">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6141EE91" w14:textId="56251C8E"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Review / Plan last two sprints</w:t>
            </w:r>
            <w:r>
              <w:rPr>
                <w:rFonts w:ascii="Arial" w:eastAsia="Times New Roman" w:hAnsi="Arial" w:cs="Arial"/>
                <w:sz w:val="20"/>
                <w:szCs w:val="20"/>
              </w:rPr>
              <w:br/>
            </w:r>
            <w:r>
              <w:rPr>
                <w:rFonts w:ascii="Arial" w:eastAsia="Times New Roman" w:hAnsi="Arial" w:cs="Arial"/>
                <w:sz w:val="20"/>
                <w:szCs w:val="20"/>
              </w:rPr>
              <w:br/>
              <w:t>LinkedIn / Portfolios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35FD63F4"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349C8313" w14:textId="77777777" w:rsidTr="006F331E">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left w:val="single" w:sz="6" w:space="0" w:color="CCCCCC"/>
              <w:bottom w:val="single" w:sz="6" w:space="0" w:color="CCCCCC"/>
              <w:right w:val="single" w:sz="6" w:space="0" w:color="CCCCCC"/>
            </w:tcBorders>
            <w:vAlign w:val="center"/>
            <w:hideMark/>
          </w:tcPr>
          <w:p w14:paraId="24E6C181"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39C8E3B"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LinkedIn / Portfolios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556704A1"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13121A83"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val="restart"/>
            <w:tcBorders>
              <w:top w:val="single" w:sz="6" w:space="0" w:color="CCCCCC"/>
              <w:left w:val="single" w:sz="6" w:space="0" w:color="CCCCCC"/>
              <w:right w:val="single" w:sz="6" w:space="0" w:color="CCCCCC"/>
            </w:tcBorders>
            <w:vAlign w:val="center"/>
            <w:hideMark/>
          </w:tcPr>
          <w:p w14:paraId="397F1DE6" w14:textId="253AD20F"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2C35D004"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34345DE3" w14:textId="77777777" w:rsidTr="00DB4FC5">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left w:val="single" w:sz="6" w:space="0" w:color="CCCCCC"/>
              <w:right w:val="single" w:sz="6" w:space="0" w:color="CCCCCC"/>
            </w:tcBorders>
            <w:vAlign w:val="center"/>
            <w:hideMark/>
          </w:tcPr>
          <w:p w14:paraId="5DA29CB7"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477F7274"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49676277" w14:textId="5C9960BD" w:rsidR="004F2E9E" w:rsidRPr="005F7109" w:rsidRDefault="004F2E9E" w:rsidP="004F2E9E">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0F671FB7"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164AA56C" w14:textId="77777777" w:rsidTr="00DB4FC5">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left w:val="single" w:sz="6" w:space="0" w:color="CCCCCC"/>
              <w:bottom w:val="single" w:sz="6" w:space="0" w:color="CCCCCC"/>
              <w:right w:val="single" w:sz="6" w:space="0" w:color="CCCCCC"/>
            </w:tcBorders>
            <w:vAlign w:val="center"/>
            <w:hideMark/>
          </w:tcPr>
          <w:p w14:paraId="2193D1CD"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24DE3331"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 4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5BEE02A0" w14:textId="77777777" w:rsidTr="00DB4FC5">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68C55883"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4741EDCC"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58495866"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22A0ED20"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5EE2B7F3"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Sprints / Beta</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sidRPr="005F7109">
              <w:rPr>
                <w:rFonts w:ascii="Arial" w:eastAsia="Times New Roman" w:hAnsi="Arial" w:cs="Arial"/>
                <w:sz w:val="20"/>
                <w:szCs w:val="20"/>
              </w:rPr>
              <w:b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47694C56" w14:textId="77777777" w:rsidTr="00DB4FC5">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5687B7EC"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Sprint 5 (</w:t>
            </w:r>
            <w:r w:rsidRPr="005F7109">
              <w:rPr>
                <w:rFonts w:ascii="Arial" w:eastAsia="Times New Roman" w:hAnsi="Arial" w:cs="Arial"/>
                <w:sz w:val="20"/>
                <w:szCs w:val="20"/>
              </w:rPr>
              <w:t>Beta</w:t>
            </w:r>
            <w:r>
              <w:rPr>
                <w:rFonts w:ascii="Arial" w:eastAsia="Times New Roman" w:hAnsi="Arial" w:cs="Arial"/>
                <w:sz w:val="20"/>
                <w:szCs w:val="20"/>
              </w:rPr>
              <w:t>)</w:t>
            </w:r>
            <w:r w:rsidRPr="005F7109">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0D65DB5D" w14:textId="77777777" w:rsidTr="00DB4FC5">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5F84BEA6"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r>
              <w:rPr>
                <w:rFonts w:ascii="Arial" w:eastAsia="Times New Roman" w:hAnsi="Arial" w:cs="Arial"/>
                <w:sz w:val="20"/>
                <w:szCs w:val="20"/>
              </w:rPr>
              <w:br/>
              <w:t>ECGC (NO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467A8996"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Students will be presenting at ECGC</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0B99EDB6"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w:t>
            </w:r>
            <w:r>
              <w:rPr>
                <w:rFonts w:ascii="Arial" w:eastAsia="Times New Roman" w:hAnsi="Arial" w:cs="Arial"/>
                <w:sz w:val="20"/>
                <w:szCs w:val="20"/>
              </w:rPr>
              <w:t xml:space="preserve"> / Package</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Pr>
                <w:rFonts w:ascii="Arial" w:eastAsia="Times New Roman" w:hAnsi="Arial" w:cs="Arial"/>
                <w:sz w:val="20"/>
                <w:szCs w:val="20"/>
              </w:rPr>
              <w:br/>
            </w:r>
            <w:r w:rsidRPr="005F7109">
              <w:rPr>
                <w:rFonts w:ascii="Arial" w:eastAsia="Times New Roman" w:hAnsi="Arial" w:cs="Arial"/>
                <w:sz w:val="20"/>
                <w:szCs w:val="20"/>
              </w:rP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741741D2" w14:textId="77777777" w:rsidTr="00DB4FC5">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D248E6"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r>
              <w:rPr>
                <w:rFonts w:ascii="Arial" w:eastAsia="Times New Roman" w:hAnsi="Arial" w:cs="Arial"/>
                <w:sz w:val="20"/>
                <w:szCs w:val="20"/>
              </w:rPr>
              <w:br/>
              <w:t>ECGC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63D6E776"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Students will be presenting at ECGC</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23491184" w14:textId="77777777" w:rsidTr="00DB4FC5">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4F2E9E" w:rsidRPr="005F7109" w:rsidRDefault="004F2E9E" w:rsidP="004F2E9E">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4F2E9E" w:rsidRPr="005F7109" w:rsidRDefault="004F2E9E" w:rsidP="004F2E9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5D753770"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w:t>
            </w:r>
            <w:r>
              <w:rPr>
                <w:rFonts w:ascii="Arial" w:eastAsia="Times New Roman" w:hAnsi="Arial" w:cs="Arial"/>
                <w:sz w:val="20"/>
                <w:szCs w:val="20"/>
              </w:rPr>
              <w:t>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0F0C9296"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w:t>
            </w:r>
            <w:r>
              <w:rPr>
                <w:rFonts w:ascii="Arial" w:eastAsia="Times New Roman" w:hAnsi="Arial" w:cs="Arial"/>
                <w:sz w:val="20"/>
                <w:szCs w:val="20"/>
              </w:rPr>
              <w:t xml:space="preserve"> / Package</w:t>
            </w:r>
            <w:r w:rsidRPr="005F7109">
              <w:rPr>
                <w:rFonts w:ascii="Arial" w:eastAsia="Times New Roman" w:hAnsi="Arial" w:cs="Arial"/>
                <w:sz w:val="20"/>
                <w:szCs w:val="20"/>
              </w:rPr>
              <w:t xml:space="preserve">: </w:t>
            </w:r>
            <w:r>
              <w:rPr>
                <w:rFonts w:ascii="Arial" w:eastAsia="Times New Roman" w:hAnsi="Arial" w:cs="Arial"/>
                <w:sz w:val="20"/>
                <w:szCs w:val="20"/>
              </w:rPr>
              <w:t>7</w:t>
            </w:r>
            <w:r w:rsidRPr="005F7109">
              <w:rPr>
                <w:rFonts w:ascii="Arial" w:eastAsia="Times New Roman" w:hAnsi="Arial" w:cs="Arial"/>
                <w:sz w:val="20"/>
                <w:szCs w:val="20"/>
              </w:rPr>
              <w:t xml:space="preserve"> hours</w:t>
            </w:r>
            <w:r>
              <w:rPr>
                <w:rFonts w:ascii="Arial" w:eastAsia="Times New Roman" w:hAnsi="Arial" w:cs="Arial"/>
                <w:sz w:val="20"/>
                <w:szCs w:val="20"/>
              </w:rPr>
              <w:br/>
            </w:r>
            <w:r w:rsidRPr="005F7109">
              <w:rPr>
                <w:rFonts w:ascii="Arial" w:eastAsia="Times New Roman" w:hAnsi="Arial" w:cs="Arial"/>
                <w:sz w:val="20"/>
                <w:szCs w:val="20"/>
              </w:rPr>
              <w:t xml:space="preserve">Presentation: </w:t>
            </w:r>
            <w:r>
              <w:rPr>
                <w:rFonts w:ascii="Arial" w:eastAsia="Times New Roman" w:hAnsi="Arial" w:cs="Arial"/>
                <w:sz w:val="20"/>
                <w:szCs w:val="20"/>
              </w:rPr>
              <w:t>1</w:t>
            </w:r>
            <w:r w:rsidRPr="005F7109">
              <w:rPr>
                <w:rFonts w:ascii="Arial" w:eastAsia="Times New Roman" w:hAnsi="Arial" w:cs="Arial"/>
                <w:sz w:val="20"/>
                <w:szCs w:val="20"/>
              </w:rPr>
              <w:t xml:space="preserve"> hours</w:t>
            </w:r>
          </w:p>
        </w:tc>
      </w:tr>
      <w:tr w:rsidR="004F2E9E" w:rsidRPr="005F7109" w14:paraId="446D56F8" w14:textId="77777777" w:rsidTr="00DB4FC5">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4F2E9E" w:rsidRPr="005F7109" w:rsidRDefault="004F2E9E" w:rsidP="004F2E9E">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4F2E9E" w:rsidRPr="005F7109" w:rsidRDefault="004F2E9E" w:rsidP="004F2E9E">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344CCE8E" w:rsidR="004F2E9E" w:rsidRPr="005F7109" w:rsidRDefault="004F2E9E" w:rsidP="004F2E9E">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4F2E9E" w:rsidRPr="005F7109" w:rsidRDefault="004F2E9E" w:rsidP="004F2E9E">
            <w:pPr>
              <w:spacing w:after="0" w:line="240" w:lineRule="auto"/>
              <w:rPr>
                <w:rFonts w:ascii="Arial" w:eastAsia="Times New Roman" w:hAnsi="Arial" w:cs="Arial"/>
                <w:sz w:val="20"/>
                <w:szCs w:val="20"/>
              </w:rPr>
            </w:pPr>
          </w:p>
        </w:tc>
      </w:tr>
      <w:tr w:rsidR="004F2E9E" w:rsidRPr="005F7109" w14:paraId="2E64C303" w14:textId="77777777" w:rsidTr="00DB4FC5">
        <w:trPr>
          <w:trHeight w:val="540"/>
        </w:trPr>
        <w:tc>
          <w:tcPr>
            <w:tcW w:w="0" w:type="auto"/>
            <w:tcBorders>
              <w:top w:val="single" w:sz="6" w:space="0" w:color="CCCCCC"/>
              <w:left w:val="single" w:sz="6" w:space="0" w:color="CCCCCC"/>
              <w:bottom w:val="single" w:sz="6" w:space="0" w:color="CCCCCC"/>
              <w:right w:val="single" w:sz="6" w:space="0" w:color="CCCCCC"/>
            </w:tcBorders>
            <w:vAlign w:val="center"/>
          </w:tcPr>
          <w:p w14:paraId="1B1F97B8" w14:textId="60326A57" w:rsidR="004F2E9E" w:rsidRPr="002A0988" w:rsidRDefault="004F2E9E" w:rsidP="004F2E9E">
            <w:pPr>
              <w:spacing w:after="0" w:line="240" w:lineRule="auto"/>
              <w:rPr>
                <w:rFonts w:ascii="Anton" w:eastAsia="Times New Roman" w:hAnsi="Anton" w:cs="Arial"/>
                <w:sz w:val="24"/>
                <w:szCs w:val="24"/>
              </w:rPr>
            </w:pPr>
            <w:r w:rsidRPr="002A0988">
              <w:rPr>
                <w:rFonts w:ascii="Anton" w:eastAsia="Times New Roman" w:hAnsi="Anton" w:cs="Arial"/>
                <w:sz w:val="24"/>
                <w:szCs w:val="24"/>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7A7CE86B" w:rsidR="004F2E9E" w:rsidRPr="005F7109" w:rsidRDefault="004F2E9E" w:rsidP="004F2E9E">
            <w:pPr>
              <w:spacing w:after="0" w:line="240" w:lineRule="auto"/>
              <w:jc w:val="center"/>
              <w:rPr>
                <w:rFonts w:ascii="Arial" w:eastAsia="Times New Roman" w:hAnsi="Arial" w:cs="Arial"/>
                <w:sz w:val="20"/>
                <w:szCs w:val="20"/>
              </w:rPr>
            </w:pPr>
            <w:r>
              <w:rPr>
                <w:rFonts w:ascii="Arial" w:eastAsia="Times New Roman" w:hAnsi="Arial" w:cs="Arial"/>
                <w:sz w:val="20"/>
                <w:szCs w:val="20"/>
              </w:rPr>
              <w:t>4/28/2023</w:t>
            </w:r>
            <w:r>
              <w:rPr>
                <w:rFonts w:ascii="Arial" w:eastAsia="Times New Roman" w:hAnsi="Arial" w:cs="Arial"/>
                <w:sz w:val="20"/>
                <w:szCs w:val="20"/>
              </w:rPr>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4F2E9E" w:rsidRPr="005F7109" w:rsidRDefault="004F2E9E" w:rsidP="004F2E9E">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317DA353" w:rsidR="004F2E9E" w:rsidRPr="00DB4FC5" w:rsidRDefault="004F2E9E" w:rsidP="004F2E9E">
            <w:pPr>
              <w:spacing w:after="0" w:line="240" w:lineRule="auto"/>
              <w:jc w:val="center"/>
              <w:rPr>
                <w:rFonts w:ascii="Arial" w:eastAsia="Times New Roman" w:hAnsi="Arial" w:cs="Arial"/>
              </w:rPr>
            </w:pPr>
            <w:r>
              <w:rPr>
                <w:rFonts w:ascii="Arial" w:eastAsia="Times New Roman" w:hAnsi="Arial" w:cs="Arial"/>
              </w:rPr>
              <w:t xml:space="preserve">Live Stream </w:t>
            </w:r>
            <w:r w:rsidRPr="00DB4FC5">
              <w:rPr>
                <w:rFonts w:ascii="Arial" w:eastAsia="Times New Roman" w:hAnsi="Arial" w:cs="Arial"/>
              </w:rPr>
              <w:t>Presentations</w:t>
            </w:r>
          </w:p>
        </w:tc>
        <w:tc>
          <w:tcPr>
            <w:tcW w:w="0" w:type="auto"/>
            <w:tcBorders>
              <w:top w:val="single" w:sz="6" w:space="0" w:color="CCCCCC"/>
              <w:left w:val="single" w:sz="6" w:space="0" w:color="CCCCCC"/>
              <w:bottom w:val="single" w:sz="6" w:space="0" w:color="CCCCCC"/>
              <w:right w:val="single" w:sz="6" w:space="0" w:color="CCCCCC"/>
            </w:tcBorders>
            <w:vAlign w:val="center"/>
          </w:tcPr>
          <w:p w14:paraId="0E42A947" w14:textId="77777777" w:rsidR="004F2E9E" w:rsidRPr="005F7109" w:rsidRDefault="004F2E9E" w:rsidP="004F2E9E">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928A" w14:textId="77777777" w:rsidR="00916D0A" w:rsidRDefault="00916D0A" w:rsidP="00BC7314">
      <w:pPr>
        <w:spacing w:after="0" w:line="240" w:lineRule="auto"/>
      </w:pPr>
      <w:r>
        <w:separator/>
      </w:r>
    </w:p>
  </w:endnote>
  <w:endnote w:type="continuationSeparator" w:id="0">
    <w:p w14:paraId="0E46B756" w14:textId="77777777" w:rsidR="00916D0A" w:rsidRDefault="00916D0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7C6E" w14:textId="77777777" w:rsidR="00916D0A" w:rsidRDefault="00916D0A" w:rsidP="00BC7314">
      <w:pPr>
        <w:spacing w:after="0" w:line="240" w:lineRule="auto"/>
      </w:pPr>
      <w:r>
        <w:separator/>
      </w:r>
    </w:p>
  </w:footnote>
  <w:footnote w:type="continuationSeparator" w:id="0">
    <w:p w14:paraId="71B64AC3" w14:textId="77777777" w:rsidR="00916D0A" w:rsidRDefault="00916D0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409896">
    <w:abstractNumId w:val="7"/>
  </w:num>
  <w:num w:numId="2" w16cid:durableId="1253706482">
    <w:abstractNumId w:val="2"/>
  </w:num>
  <w:num w:numId="3" w16cid:durableId="529294247">
    <w:abstractNumId w:val="1"/>
  </w:num>
  <w:num w:numId="4" w16cid:durableId="1197042137">
    <w:abstractNumId w:val="11"/>
  </w:num>
  <w:num w:numId="5" w16cid:durableId="1018508654">
    <w:abstractNumId w:val="3"/>
  </w:num>
  <w:num w:numId="6" w16cid:durableId="43989377">
    <w:abstractNumId w:val="12"/>
  </w:num>
  <w:num w:numId="7" w16cid:durableId="606894082">
    <w:abstractNumId w:val="4"/>
  </w:num>
  <w:num w:numId="8" w16cid:durableId="595098687">
    <w:abstractNumId w:val="10"/>
  </w:num>
  <w:num w:numId="9" w16cid:durableId="913198902">
    <w:abstractNumId w:val="14"/>
  </w:num>
  <w:num w:numId="10" w16cid:durableId="711466390">
    <w:abstractNumId w:val="8"/>
  </w:num>
  <w:num w:numId="11" w16cid:durableId="864904637">
    <w:abstractNumId w:val="9"/>
  </w:num>
  <w:num w:numId="12" w16cid:durableId="1689795985">
    <w:abstractNumId w:val="16"/>
  </w:num>
  <w:num w:numId="13" w16cid:durableId="1456562673">
    <w:abstractNumId w:val="0"/>
  </w:num>
  <w:num w:numId="14" w16cid:durableId="1223251200">
    <w:abstractNumId w:val="13"/>
  </w:num>
  <w:num w:numId="15" w16cid:durableId="57561394">
    <w:abstractNumId w:val="5"/>
  </w:num>
  <w:num w:numId="16" w16cid:durableId="743524423">
    <w:abstractNumId w:val="15"/>
  </w:num>
  <w:num w:numId="17" w16cid:durableId="1872453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13BDF"/>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4F2E9E"/>
    <w:rsid w:val="00503045"/>
    <w:rsid w:val="00504B12"/>
    <w:rsid w:val="005144E7"/>
    <w:rsid w:val="00535D4B"/>
    <w:rsid w:val="005677DB"/>
    <w:rsid w:val="005751C2"/>
    <w:rsid w:val="00581F86"/>
    <w:rsid w:val="005A5E4B"/>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16D0A"/>
    <w:rsid w:val="00930B37"/>
    <w:rsid w:val="00993F9D"/>
    <w:rsid w:val="009A7828"/>
    <w:rsid w:val="009B2E95"/>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600EE"/>
    <w:rsid w:val="00B63143"/>
    <w:rsid w:val="00B90DEC"/>
    <w:rsid w:val="00BC7314"/>
    <w:rsid w:val="00BF5EDD"/>
    <w:rsid w:val="00C0206C"/>
    <w:rsid w:val="00C14281"/>
    <w:rsid w:val="00C271F5"/>
    <w:rsid w:val="00C33DDC"/>
    <w:rsid w:val="00C425ED"/>
    <w:rsid w:val="00C42EB7"/>
    <w:rsid w:val="00C6005E"/>
    <w:rsid w:val="00C63215"/>
    <w:rsid w:val="00C763CA"/>
    <w:rsid w:val="00C83561"/>
    <w:rsid w:val="00C87DFD"/>
    <w:rsid w:val="00C97CA9"/>
    <w:rsid w:val="00CA479C"/>
    <w:rsid w:val="00CC0590"/>
    <w:rsid w:val="00CC1525"/>
    <w:rsid w:val="00CF0FF7"/>
    <w:rsid w:val="00D51B34"/>
    <w:rsid w:val="00D57244"/>
    <w:rsid w:val="00D7040A"/>
    <w:rsid w:val="00DA6319"/>
    <w:rsid w:val="00DB2AF0"/>
    <w:rsid w:val="00DB34BB"/>
    <w:rsid w:val="00DB4FC5"/>
    <w:rsid w:val="00DD1B31"/>
    <w:rsid w:val="00DD7952"/>
    <w:rsid w:val="00DE2BA5"/>
    <w:rsid w:val="00DE76AD"/>
    <w:rsid w:val="00DF13F4"/>
    <w:rsid w:val="00DF347A"/>
    <w:rsid w:val="00DF5ECB"/>
    <w:rsid w:val="00E05951"/>
    <w:rsid w:val="00E05BFA"/>
    <w:rsid w:val="00E14AB5"/>
    <w:rsid w:val="00E21EBF"/>
    <w:rsid w:val="00E51C47"/>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2023-03-14T17:26:00Z</cp:lastPrinted>
  <dcterms:created xsi:type="dcterms:W3CDTF">2023-09-11T00:38:00Z</dcterms:created>
  <dcterms:modified xsi:type="dcterms:W3CDTF">2023-09-11T00:46:00Z</dcterms:modified>
</cp:coreProperties>
</file>