
<file path=[Content_Types].xml><?xml version="1.0" encoding="utf-8"?>
<Types xmlns="http://schemas.openxmlformats.org/package/2006/content-types">
  <Override PartName="/_rels/.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media/image11.jpeg" ContentType="image/jpeg"/>
  <Override PartName="/word/header1.xml" ContentType="application/vnd.openxmlformats-officedocument.wordprocessingml.header+xml"/>
  <Override PartName="/word/document.xml" ContentType="application/vnd.openxmlformats-officedocument.wordprocessingml.document.main+xml"/>
  <Override PartName="/word/numbering.xml" ContentType="application/vnd.openxmlformats-officedocument.wordprocessingml.numbering+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style0"/>
        <w:numPr>
          <w:ilvl w:val="0"/>
          <w:numId w:val="1"/>
        </w:numPr>
      </w:pPr>
      <w:r>
        <w:rPr>
          <w:rFonts w:ascii="Calibri" w:hAnsi="Calibri"/>
        </w:rPr>
        <w:t>Purpose</w:t>
      </w:r>
    </w:p>
    <w:p>
      <w:pPr>
        <w:pStyle w:val="style0"/>
        <w:numPr>
          <w:ilvl w:val="1"/>
          <w:numId w:val="1"/>
        </w:numPr>
      </w:pPr>
      <w:r>
        <w:rPr>
          <w:rFonts w:ascii="Calibri" w:hAnsi="Calibri"/>
        </w:rPr>
        <w:t>The purpose of this document is to outline the plan for developing, testing, and releasing the ClearView software that interfaces with the ClearView device.</w:t>
      </w:r>
    </w:p>
    <w:p>
      <w:pPr>
        <w:pStyle w:val="style0"/>
        <w:numPr>
          <w:ilvl w:val="1"/>
          <w:numId w:val="1"/>
        </w:numPr>
      </w:pPr>
      <w:r>
        <w:rPr>
          <w:rFonts w:ascii="Calibri" w:hAnsi="Calibri"/>
        </w:rPr>
        <w:t>This document is supplementary to the overall ClearView System DDP (DDP-001).  This will ensure that all necessary activities are addressed including the method in which they will be conducted and all responsible parties involved therein.</w:t>
      </w:r>
    </w:p>
    <w:p>
      <w:pPr>
        <w:pStyle w:val="style0"/>
        <w:numPr>
          <w:ilvl w:val="0"/>
          <w:numId w:val="1"/>
        </w:numPr>
      </w:pPr>
      <w:r>
        <w:rPr>
          <w:rFonts w:ascii="Calibri" w:hAnsi="Calibri"/>
        </w:rPr>
        <w:t>Scope</w:t>
      </w:r>
    </w:p>
    <w:p>
      <w:pPr>
        <w:pStyle w:val="style0"/>
        <w:numPr>
          <w:ilvl w:val="1"/>
          <w:numId w:val="1"/>
        </w:numPr>
      </w:pPr>
      <w:r>
        <w:rPr>
          <w:rFonts w:ascii="Calibri" w:hAnsi="Calibri"/>
        </w:rPr>
        <w:t xml:space="preserve">The objective of this DDP is to outline the activities to be performed in order to identify, develop, and implement EPIC ClearView software as described by the associated requirements document.  Included in this document are the roles and responsibilities of individuals that are required to perform these activities. </w:t>
      </w:r>
    </w:p>
    <w:p>
      <w:pPr>
        <w:pStyle w:val="style0"/>
        <w:numPr>
          <w:ilvl w:val="1"/>
          <w:numId w:val="1"/>
        </w:numPr>
      </w:pPr>
      <w:r>
        <w:rPr>
          <w:rFonts w:ascii="Calibri" w:hAnsi="Calibri"/>
        </w:rPr>
        <w:t>The scope of this project is to fully document the implementation of the developed algorithm into the ClearView software.  Additional user requirements and software improvements will be included in this project.</w:t>
      </w:r>
    </w:p>
    <w:p>
      <w:pPr>
        <w:pStyle w:val="style0"/>
        <w:numPr>
          <w:ilvl w:val="1"/>
          <w:numId w:val="1"/>
        </w:numPr>
      </w:pPr>
      <w:r>
        <w:rPr>
          <w:rFonts w:ascii="Calibri" w:hAnsi="Calibri"/>
        </w:rPr>
        <w:t>Aspects of the design process included within this DDP are planning, design, coding, verification, validation, and release.  Included in the plan are all individuals, resources, and facilities involved.</w:t>
      </w:r>
    </w:p>
    <w:p>
      <w:pPr>
        <w:pStyle w:val="style0"/>
        <w:numPr>
          <w:ilvl w:val="0"/>
          <w:numId w:val="1"/>
        </w:numPr>
      </w:pPr>
      <w:r>
        <w:rPr>
          <w:rFonts w:ascii="Calibri" w:hAnsi="Calibri"/>
        </w:rPr>
        <w:t>Reference Documents</w:t>
      </w:r>
    </w:p>
    <w:p>
      <w:pPr>
        <w:pStyle w:val="style0"/>
        <w:numPr>
          <w:ilvl w:val="1"/>
          <w:numId w:val="1"/>
        </w:numPr>
      </w:pPr>
      <w:r>
        <w:rPr>
          <w:rFonts w:ascii="Calibri" w:hAnsi="Calibri"/>
        </w:rPr>
        <w:t>Regulatory Documentation:</w:t>
      </w:r>
    </w:p>
    <w:p>
      <w:pPr>
        <w:pStyle w:val="style0"/>
        <w:numPr>
          <w:ilvl w:val="2"/>
          <w:numId w:val="1"/>
        </w:numPr>
        <w:ind w:hanging="360" w:left="1440" w:right="0"/>
      </w:pPr>
      <w:r>
        <w:rPr>
          <w:rFonts w:ascii="Calibri" w:hAnsi="Calibri"/>
        </w:rPr>
        <w:t>FDA 21 CFR 820, Quality System Regulations (QSRs)</w:t>
      </w:r>
    </w:p>
    <w:p>
      <w:pPr>
        <w:pStyle w:val="style0"/>
        <w:numPr>
          <w:ilvl w:val="2"/>
          <w:numId w:val="1"/>
        </w:numPr>
        <w:ind w:hanging="360" w:left="1440" w:right="0"/>
      </w:pPr>
      <w:r>
        <w:rPr>
          <w:rFonts w:ascii="Calibri" w:hAnsi="Calibri"/>
        </w:rPr>
        <w:t>ISO 13485:2003 Medical Devices – Quality Management Systems – Requirements for Regulatory Purposes</w:t>
      </w:r>
    </w:p>
    <w:p>
      <w:pPr>
        <w:pStyle w:val="style0"/>
        <w:numPr>
          <w:ilvl w:val="1"/>
          <w:numId w:val="1"/>
        </w:numPr>
      </w:pPr>
      <w:r>
        <w:rPr>
          <w:rFonts w:ascii="Calibri" w:hAnsi="Calibri"/>
        </w:rPr>
        <w:t>3.2</w:t>
        <w:tab/>
        <w:t>EG-001, Design Control Procedure</w:t>
      </w:r>
    </w:p>
    <w:p>
      <w:pPr>
        <w:pStyle w:val="style0"/>
        <w:numPr>
          <w:ilvl w:val="1"/>
          <w:numId w:val="1"/>
        </w:numPr>
      </w:pPr>
      <w:r>
        <w:rPr>
          <w:rFonts w:ascii="Calibri" w:hAnsi="Calibri"/>
        </w:rPr>
        <w:t>3.3</w:t>
        <w:tab/>
        <w:t xml:space="preserve">EG-010, Software Development </w:t>
      </w:r>
    </w:p>
    <w:p>
      <w:pPr>
        <w:pStyle w:val="style0"/>
        <w:numPr>
          <w:ilvl w:val="0"/>
          <w:numId w:val="1"/>
        </w:numPr>
      </w:pPr>
      <w:r>
        <w:rPr>
          <w:rFonts w:ascii="Calibri" w:hAnsi="Calibri"/>
        </w:rPr>
        <w:t>Definitions</w:t>
      </w:r>
    </w:p>
    <w:tbl>
      <w:tblPr>
        <w:jc w:val="left"/>
        <w:tblInd w:type="dxa" w:w="53"/>
        <w:tblBorders>
          <w:top w:color="000001" w:space="0" w:sz="2" w:val="single"/>
          <w:left w:color="000001" w:space="0" w:sz="2" w:val="single"/>
          <w:bottom w:color="000001" w:space="0" w:sz="2" w:val="single"/>
          <w:insideH w:color="000001" w:space="0" w:sz="2" w:val="single"/>
          <w:right w:val="none"/>
          <w:insideV w:val="none"/>
        </w:tblBorders>
        <w:tblCellMar>
          <w:top w:type="dxa" w:w="55"/>
          <w:left w:type="dxa" w:w="51"/>
          <w:bottom w:type="dxa" w:w="55"/>
          <w:right w:type="dxa" w:w="55"/>
        </w:tblCellMar>
      </w:tblPr>
      <w:tblGrid>
        <w:gridCol w:w="2789"/>
        <w:gridCol w:w="8010"/>
      </w:tblGrid>
      <w:tr>
        <w:trPr>
          <w:cantSplit w:val="false"/>
        </w:trPr>
        <w:tc>
          <w:tcPr>
            <w:tcW w:type="dxa" w:w="2789"/>
            <w:tcBorders>
              <w:top w:color="000001" w:space="0" w:sz="2" w:val="single"/>
              <w:left w:color="000001" w:space="0" w:sz="2" w:val="single"/>
              <w:bottom w:color="000001" w:space="0" w:sz="2" w:val="single"/>
              <w:right w:val="none"/>
            </w:tcBorders>
            <w:shd w:fill="FFFFFF" w:val="clear"/>
            <w:tcMar>
              <w:left w:type="dxa" w:w="51"/>
            </w:tcMar>
          </w:tcPr>
          <w:p>
            <w:pPr>
              <w:pStyle w:val="style31"/>
              <w:spacing w:after="200" w:before="0"/>
              <w:contextualSpacing w:val="false"/>
            </w:pPr>
            <w:r>
              <w:rPr/>
              <w:t>Software want</w:t>
            </w:r>
          </w:p>
        </w:tc>
        <w:tc>
          <w:tcPr>
            <w:tcW w:type="dxa" w:w="8010"/>
            <w:tcBorders>
              <w:top w:color="000001" w:space="0" w:sz="2" w:val="single"/>
              <w:left w:color="000001" w:space="0" w:sz="2" w:val="single"/>
              <w:bottom w:color="000001" w:space="0" w:sz="2" w:val="single"/>
              <w:right w:color="000001" w:space="0" w:sz="2" w:val="single"/>
            </w:tcBorders>
            <w:shd w:fill="FFFFFF" w:val="clear"/>
            <w:tcMar>
              <w:left w:type="dxa" w:w="51"/>
            </w:tcMar>
          </w:tcPr>
          <w:p>
            <w:pPr>
              <w:pStyle w:val="style31"/>
              <w:spacing w:after="200" w:before="0"/>
              <w:contextualSpacing w:val="false"/>
            </w:pPr>
            <w:r>
              <w:rPr/>
              <w:t>A want is a feature that has been requested and is or pending logging in the bug tracking system.  Wants are assessed for each phase and version of the software.</w:t>
            </w:r>
          </w:p>
        </w:tc>
      </w:tr>
      <w:tr>
        <w:trPr>
          <w:cantSplit w:val="false"/>
        </w:trPr>
        <w:tc>
          <w:tcPr>
            <w:tcW w:type="dxa" w:w="2789"/>
            <w:tcBorders>
              <w:top w:val="none"/>
              <w:left w:color="000001" w:space="0" w:sz="2" w:val="single"/>
              <w:bottom w:color="000001" w:space="0" w:sz="2" w:val="single"/>
              <w:right w:val="none"/>
            </w:tcBorders>
            <w:shd w:fill="FFFFFF" w:val="clear"/>
            <w:tcMar>
              <w:left w:type="dxa" w:w="51"/>
            </w:tcMar>
          </w:tcPr>
          <w:p>
            <w:pPr>
              <w:pStyle w:val="style31"/>
              <w:spacing w:after="200" w:before="0"/>
              <w:contextualSpacing w:val="false"/>
            </w:pPr>
            <w:r>
              <w:rPr/>
              <w:t>Software need</w:t>
            </w:r>
          </w:p>
        </w:tc>
        <w:tc>
          <w:tcPr>
            <w:tcW w:type="dxa" w:w="8010"/>
            <w:tcBorders>
              <w:top w:val="none"/>
              <w:left w:color="000001" w:space="0" w:sz="2" w:val="single"/>
              <w:bottom w:color="000001" w:space="0" w:sz="2" w:val="single"/>
              <w:right w:color="000001" w:space="0" w:sz="2" w:val="single"/>
            </w:tcBorders>
            <w:shd w:fill="FFFFFF" w:val="clear"/>
            <w:tcMar>
              <w:left w:type="dxa" w:w="51"/>
            </w:tcMar>
          </w:tcPr>
          <w:p>
            <w:pPr>
              <w:pStyle w:val="style31"/>
              <w:spacing w:after="200" w:before="0"/>
              <w:contextualSpacing w:val="false"/>
            </w:pPr>
            <w:r>
              <w:rPr/>
              <w:t>A software need is a feature or bug fix that has the highest priority, and should be included in the next phase.</w:t>
            </w:r>
          </w:p>
        </w:tc>
      </w:tr>
      <w:tr>
        <w:trPr>
          <w:cantSplit w:val="false"/>
        </w:trPr>
        <w:tc>
          <w:tcPr>
            <w:tcW w:type="dxa" w:w="2789"/>
            <w:tcBorders>
              <w:top w:val="none"/>
              <w:left w:color="000001" w:space="0" w:sz="2" w:val="single"/>
              <w:bottom w:color="000001" w:space="0" w:sz="2" w:val="single"/>
              <w:right w:val="none"/>
            </w:tcBorders>
            <w:shd w:fill="FFFFFF" w:val="clear"/>
            <w:tcMar>
              <w:left w:type="dxa" w:w="51"/>
            </w:tcMar>
          </w:tcPr>
          <w:p>
            <w:pPr>
              <w:pStyle w:val="style31"/>
              <w:spacing w:after="200" w:before="0"/>
              <w:contextualSpacing w:val="false"/>
            </w:pPr>
            <w:r>
              <w:rPr/>
            </w:r>
          </w:p>
        </w:tc>
        <w:tc>
          <w:tcPr>
            <w:tcW w:type="dxa" w:w="8010"/>
            <w:tcBorders>
              <w:top w:val="none"/>
              <w:left w:color="000001" w:space="0" w:sz="2" w:val="single"/>
              <w:bottom w:color="000001" w:space="0" w:sz="2" w:val="single"/>
              <w:right w:color="000001" w:space="0" w:sz="2" w:val="single"/>
            </w:tcBorders>
            <w:shd w:fill="FFFFFF" w:val="clear"/>
            <w:tcMar>
              <w:left w:type="dxa" w:w="51"/>
            </w:tcMar>
          </w:tcPr>
          <w:p>
            <w:pPr>
              <w:pStyle w:val="style31"/>
              <w:spacing w:after="200" w:before="0"/>
              <w:contextualSpacing w:val="false"/>
            </w:pPr>
            <w:r>
              <w:rPr/>
            </w:r>
          </w:p>
        </w:tc>
      </w:tr>
      <w:tr>
        <w:trPr>
          <w:cantSplit w:val="false"/>
        </w:trPr>
        <w:tc>
          <w:tcPr>
            <w:tcW w:type="dxa" w:w="2789"/>
            <w:tcBorders>
              <w:top w:val="none"/>
              <w:left w:color="000001" w:space="0" w:sz="2" w:val="single"/>
              <w:bottom w:color="000001" w:space="0" w:sz="2" w:val="single"/>
              <w:right w:val="none"/>
            </w:tcBorders>
            <w:shd w:fill="FFFFFF" w:val="clear"/>
            <w:tcMar>
              <w:left w:type="dxa" w:w="51"/>
            </w:tcMar>
          </w:tcPr>
          <w:p>
            <w:pPr>
              <w:pStyle w:val="style31"/>
              <w:spacing w:after="200" w:before="0"/>
              <w:contextualSpacing w:val="false"/>
            </w:pPr>
            <w:r>
              <w:rPr/>
            </w:r>
          </w:p>
        </w:tc>
        <w:tc>
          <w:tcPr>
            <w:tcW w:type="dxa" w:w="8010"/>
            <w:tcBorders>
              <w:top w:val="none"/>
              <w:left w:color="000001" w:space="0" w:sz="2" w:val="single"/>
              <w:bottom w:color="000001" w:space="0" w:sz="2" w:val="single"/>
              <w:right w:color="000001" w:space="0" w:sz="2" w:val="single"/>
            </w:tcBorders>
            <w:shd w:fill="FFFFFF" w:val="clear"/>
            <w:tcMar>
              <w:left w:type="dxa" w:w="51"/>
            </w:tcMar>
          </w:tcPr>
          <w:p>
            <w:pPr>
              <w:pStyle w:val="style31"/>
              <w:spacing w:after="200" w:before="0"/>
              <w:contextualSpacing w:val="false"/>
            </w:pPr>
            <w:r>
              <w:rPr/>
            </w:r>
          </w:p>
        </w:tc>
      </w:tr>
    </w:tbl>
    <w:p>
      <w:pPr>
        <w:pStyle w:val="style0"/>
      </w:pPr>
      <w:r>
        <w:rPr/>
      </w:r>
    </w:p>
    <w:p>
      <w:pPr>
        <w:pStyle w:val="style0"/>
        <w:numPr>
          <w:ilvl w:val="0"/>
          <w:numId w:val="1"/>
        </w:numPr>
      </w:pPr>
      <w:r>
        <w:rPr>
          <w:rFonts w:ascii="Calibri" w:hAnsi="Calibri"/>
        </w:rPr>
        <w:t>Project Description</w:t>
      </w:r>
    </w:p>
    <w:p>
      <w:pPr>
        <w:pStyle w:val="style0"/>
        <w:numPr>
          <w:ilvl w:val="1"/>
          <w:numId w:val="1"/>
        </w:numPr>
      </w:pPr>
      <w:r>
        <w:rPr>
          <w:rFonts w:ascii="Calibri" w:hAnsi="Calibri"/>
        </w:rPr>
        <w:t>The EPIC ClearView software is a windows based application that governs interactions between the FTDI and camera interfaces within the ClearView device.  Captured images are then analysed by a MatLab Compiled Run-time library that performs calculations on images.  These calculations are then passed in to the EPIC Scoring algorithm to determine the final report output.</w:t>
      </w:r>
    </w:p>
    <w:p>
      <w:pPr>
        <w:pStyle w:val="style0"/>
        <w:numPr>
          <w:ilvl w:val="0"/>
          <w:numId w:val="1"/>
        </w:numPr>
      </w:pPr>
      <w:r>
        <w:rPr>
          <w:rFonts w:ascii="Calibri" w:hAnsi="Calibri"/>
        </w:rPr>
        <w:t>Project Requirements</w:t>
      </w:r>
    </w:p>
    <w:p>
      <w:pPr>
        <w:pStyle w:val="style0"/>
        <w:numPr>
          <w:ilvl w:val="1"/>
          <w:numId w:val="1"/>
        </w:numPr>
      </w:pPr>
      <w:r>
        <w:rPr>
          <w:rFonts w:ascii="Calibri" w:hAnsi="Calibri"/>
        </w:rPr>
        <w:t>Analyze risks of capturing patient data in accordance with the FDA regulatory guidelines for software.</w:t>
      </w:r>
    </w:p>
    <w:p>
      <w:pPr>
        <w:pStyle w:val="style0"/>
        <w:numPr>
          <w:ilvl w:val="1"/>
          <w:numId w:val="1"/>
        </w:numPr>
      </w:pPr>
      <w:r>
        <w:rPr>
          <w:rFonts w:ascii="Calibri" w:hAnsi="Calibri"/>
        </w:rPr>
        <w:t>Specific functions of the ClearView software will be stated in a software requirements document.  These functions include, but are not limited to the following over-arching project requirements:</w:t>
      </w:r>
    </w:p>
    <w:p>
      <w:pPr>
        <w:pStyle w:val="style0"/>
        <w:numPr>
          <w:ilvl w:val="2"/>
          <w:numId w:val="1"/>
        </w:numPr>
      </w:pPr>
      <w:r>
        <w:rPr>
          <w:rFonts w:ascii="Calibri" w:hAnsi="Calibri"/>
        </w:rPr>
        <w:t>Interface with ClearView hardware for controlling energizes and camera functions.</w:t>
      </w:r>
    </w:p>
    <w:p>
      <w:pPr>
        <w:pStyle w:val="style0"/>
        <w:numPr>
          <w:ilvl w:val="2"/>
          <w:numId w:val="1"/>
        </w:numPr>
      </w:pPr>
      <w:r>
        <w:rPr>
          <w:rFonts w:ascii="Calibri" w:hAnsi="Calibri"/>
        </w:rPr>
        <w:t>Capture energized images from subjects and store in a database with associated subject information such as name and date of imaging.</w:t>
      </w:r>
    </w:p>
    <w:p>
      <w:pPr>
        <w:pStyle w:val="style0"/>
        <w:numPr>
          <w:ilvl w:val="2"/>
          <w:numId w:val="1"/>
        </w:numPr>
      </w:pPr>
      <w:r>
        <w:rPr>
          <w:rFonts w:ascii="Calibri" w:hAnsi="Calibri"/>
        </w:rPr>
        <w:t>Organize data from analysis algorithms in a viewable and meaningful way.</w:t>
      </w:r>
    </w:p>
    <w:p>
      <w:pPr>
        <w:pStyle w:val="style0"/>
        <w:numPr>
          <w:ilvl w:val="2"/>
          <w:numId w:val="1"/>
        </w:numPr>
      </w:pPr>
      <w:r>
        <w:rPr>
          <w:rFonts w:ascii="Calibri" w:hAnsi="Calibri"/>
        </w:rPr>
        <w:t>Provide interfaces for extracting specific data for administrative use.</w:t>
      </w:r>
    </w:p>
    <w:p>
      <w:pPr>
        <w:pStyle w:val="style0"/>
        <w:numPr>
          <w:ilvl w:val="2"/>
          <w:numId w:val="1"/>
        </w:numPr>
      </w:pPr>
      <w:r>
        <w:rPr>
          <w:rFonts w:ascii="Calibri" w:hAnsi="Calibri"/>
        </w:rPr>
        <w:t>Provide process for historic record management for viewing old data and images.</w:t>
      </w:r>
    </w:p>
    <w:p>
      <w:pPr>
        <w:pStyle w:val="style0"/>
        <w:numPr>
          <w:ilvl w:val="1"/>
          <w:numId w:val="1"/>
        </w:numPr>
      </w:pPr>
      <w:r>
        <w:rPr>
          <w:rFonts w:ascii="Calibri" w:hAnsi="Calibri"/>
        </w:rPr>
        <w:t>Verification will be performed according to the Design Control Procedure, and approved test protocols.</w:t>
      </w:r>
    </w:p>
    <w:p>
      <w:pPr>
        <w:pStyle w:val="style0"/>
        <w:numPr>
          <w:ilvl w:val="1"/>
          <w:numId w:val="1"/>
        </w:numPr>
      </w:pPr>
      <w:r>
        <w:rPr>
          <w:rFonts w:ascii="Calibri" w:hAnsi="Calibri"/>
        </w:rPr>
        <w:t>All verified software outcomes will be stored with the design history file in a recoverable format. That is, all software code at the time of each phase review, all dependent libraries, all database designs and initialization scripts, a compiled/runnable copy of the software, and any code documentation output, as well as a virtual machine hard drive that can be loaded with the software in its approved state.</w:t>
      </w:r>
    </w:p>
    <w:p>
      <w:pPr>
        <w:pStyle w:val="style0"/>
        <w:numPr>
          <w:ilvl w:val="1"/>
          <w:numId w:val="1"/>
        </w:numPr>
      </w:pPr>
      <w:r>
        <w:rPr>
          <w:rFonts w:ascii="Calibri" w:hAnsi="Calibri"/>
        </w:rPr>
        <w:t xml:space="preserve">Each software want and need will be assessed according to the phases described in the Design Control Procedure.  These itemized tasks will be summarized in to requirements that capture the </w:t>
      </w:r>
      <w:r>
        <w:rPr>
          <w:rFonts w:ascii="Calibri" w:hAnsi="Calibri"/>
          <w:i/>
          <w:iCs/>
        </w:rPr>
        <w:t xml:space="preserve">intention </w:t>
      </w:r>
      <w:r>
        <w:rPr>
          <w:rFonts w:ascii="Calibri" w:hAnsi="Calibri"/>
          <w:i/>
          <w:iCs/>
        </w:rPr>
        <w:t>(as opposed to word-for-word implementation details)</w:t>
      </w:r>
      <w:r>
        <w:rPr>
          <w:rFonts w:ascii="Calibri" w:hAnsi="Calibri"/>
          <w:i w:val="false"/>
          <w:iCs w:val="false"/>
        </w:rPr>
        <w:t xml:space="preserve"> of change the to software.</w:t>
      </w:r>
    </w:p>
    <w:p>
      <w:pPr>
        <w:pStyle w:val="style0"/>
        <w:numPr>
          <w:ilvl w:val="0"/>
          <w:numId w:val="1"/>
        </w:numPr>
      </w:pPr>
      <w:r>
        <w:rPr>
          <w:rFonts w:ascii="Calibri" w:hAnsi="Calibri"/>
        </w:rPr>
        <w:t>Responsibilities</w:t>
      </w:r>
    </w:p>
    <w:p>
      <w:pPr>
        <w:pStyle w:val="style0"/>
        <w:numPr>
          <w:ilvl w:val="1"/>
          <w:numId w:val="1"/>
        </w:numPr>
      </w:pPr>
      <w:r>
        <w:rPr>
          <w:rFonts w:ascii="Calibri" w:hAnsi="Calibri"/>
        </w:rPr>
        <w:t>Software Development Department – oversight of software development and implementation</w:t>
      </w:r>
    </w:p>
    <w:p>
      <w:pPr>
        <w:pStyle w:val="style0"/>
        <w:numPr>
          <w:ilvl w:val="1"/>
          <w:numId w:val="1"/>
        </w:numPr>
      </w:pPr>
      <w:r>
        <w:rPr>
          <w:rFonts w:ascii="Calibri" w:hAnsi="Calibri"/>
        </w:rPr>
        <w:t>Quality and Project Management Director – oversight of software verification and validation, and management of quality system requirements.</w:t>
      </w:r>
    </w:p>
    <w:p>
      <w:pPr>
        <w:pStyle w:val="style0"/>
        <w:numPr>
          <w:ilvl w:val="1"/>
          <w:numId w:val="1"/>
        </w:numPr>
      </w:pPr>
      <w:r>
        <w:rPr>
          <w:rFonts w:ascii="Calibri" w:cs="Calibri" w:hAnsi="Calibri"/>
          <w:lang w:val="en-US"/>
        </w:rPr>
        <w:t>Project Implementation – maintaining Project Task List and monitoring progress of project and business goals.</w:t>
      </w:r>
    </w:p>
    <w:p>
      <w:pPr>
        <w:pStyle w:val="style0"/>
        <w:numPr>
          <w:ilvl w:val="1"/>
          <w:numId w:val="1"/>
        </w:numPr>
      </w:pPr>
      <w:r>
        <w:rPr>
          <w:rFonts w:ascii="Calibri" w:cs="Calibri" w:hAnsi="Calibri"/>
          <w:lang w:val="en-US"/>
        </w:rPr>
        <w:t>Engineering – Collaborate throughout the process in order to develop device and software interfaces.</w:t>
      </w:r>
    </w:p>
    <w:p>
      <w:pPr>
        <w:pStyle w:val="style0"/>
        <w:numPr>
          <w:ilvl w:val="0"/>
          <w:numId w:val="1"/>
        </w:numPr>
      </w:pPr>
      <w:r>
        <w:rPr>
          <w:rFonts w:ascii="Calibri" w:cs="Calibri" w:hAnsi="Calibri"/>
          <w:lang w:val="en-US"/>
        </w:rPr>
        <w:t>Organization, Interfaces, Responsibilities, and Approval Authority</w:t>
      </w:r>
    </w:p>
    <w:p>
      <w:pPr>
        <w:pStyle w:val="style0"/>
        <w:numPr>
          <w:ilvl w:val="0"/>
          <w:numId w:val="1"/>
        </w:numPr>
      </w:pPr>
      <w:r>
        <w:rPr>
          <w:rFonts w:ascii="Calibri" w:hAnsi="Calibri"/>
        </w:rPr>
        <w:t>Major Tasks / Milestones / Schedule</w:t>
      </w:r>
    </w:p>
    <w:p>
      <w:pPr>
        <w:pStyle w:val="style0"/>
        <w:numPr>
          <w:ilvl w:val="1"/>
          <w:numId w:val="1"/>
        </w:numPr>
      </w:pPr>
      <w:r>
        <w:rPr>
          <w:rFonts w:ascii="Calibri" w:hAnsi="Calibri"/>
        </w:rPr>
        <w:t>Software Requirements</w:t>
      </w:r>
    </w:p>
    <w:p>
      <w:pPr>
        <w:pStyle w:val="style0"/>
        <w:numPr>
          <w:ilvl w:val="1"/>
          <w:numId w:val="1"/>
        </w:numPr>
      </w:pPr>
      <w:r>
        <w:rPr>
          <w:rFonts w:ascii="Calibri" w:hAnsi="Calibri"/>
        </w:rPr>
        <w:t>Initial Risk Analysis</w:t>
      </w:r>
    </w:p>
    <w:p>
      <w:pPr>
        <w:pStyle w:val="style0"/>
        <w:numPr>
          <w:ilvl w:val="1"/>
          <w:numId w:val="1"/>
        </w:numPr>
      </w:pPr>
      <w:r>
        <w:rPr>
          <w:rFonts w:ascii="Calibri" w:hAnsi="Calibri"/>
        </w:rPr>
        <w:t>Prototyping</w:t>
      </w:r>
    </w:p>
    <w:p>
      <w:pPr>
        <w:pStyle w:val="style0"/>
        <w:numPr>
          <w:ilvl w:val="1"/>
          <w:numId w:val="1"/>
        </w:numPr>
      </w:pPr>
      <w:r>
        <w:rPr>
          <w:rFonts w:ascii="Calibri" w:hAnsi="Calibri"/>
        </w:rPr>
        <w:t>Design Specifications</w:t>
      </w:r>
    </w:p>
    <w:p>
      <w:pPr>
        <w:pStyle w:val="style0"/>
        <w:numPr>
          <w:ilvl w:val="1"/>
          <w:numId w:val="1"/>
        </w:numPr>
      </w:pPr>
      <w:r>
        <w:rPr>
          <w:rFonts w:ascii="Calibri" w:hAnsi="Calibri"/>
        </w:rPr>
        <w:t>Software Development</w:t>
      </w:r>
    </w:p>
    <w:p>
      <w:pPr>
        <w:pStyle w:val="style0"/>
        <w:numPr>
          <w:ilvl w:val="1"/>
          <w:numId w:val="1"/>
        </w:numPr>
      </w:pPr>
      <w:r>
        <w:rPr>
          <w:rFonts w:ascii="Calibri" w:hAnsi="Calibri"/>
        </w:rPr>
        <w:t>Design verification testing</w:t>
      </w:r>
    </w:p>
    <w:p>
      <w:pPr>
        <w:pStyle w:val="style0"/>
        <w:numPr>
          <w:ilvl w:val="1"/>
          <w:numId w:val="1"/>
        </w:numPr>
      </w:pPr>
      <w:r>
        <w:rPr>
          <w:rFonts w:ascii="Calibri" w:hAnsi="Calibri"/>
        </w:rPr>
        <w:t>Design validation</w:t>
      </w:r>
    </w:p>
    <w:p>
      <w:pPr>
        <w:pStyle w:val="style0"/>
        <w:numPr>
          <w:ilvl w:val="1"/>
          <w:numId w:val="1"/>
        </w:numPr>
      </w:pPr>
      <w:r>
        <w:rPr>
          <w:rFonts w:ascii="Calibri" w:hAnsi="Calibri"/>
        </w:rPr>
        <w:t>Process validation</w:t>
      </w:r>
    </w:p>
    <w:p>
      <w:pPr>
        <w:pStyle w:val="style0"/>
        <w:numPr>
          <w:ilvl w:val="1"/>
          <w:numId w:val="1"/>
        </w:numPr>
      </w:pPr>
      <w:r>
        <w:rPr>
          <w:rFonts w:ascii="Calibri" w:hAnsi="Calibri"/>
        </w:rPr>
        <w:t>Finalize risk analysis</w:t>
      </w:r>
    </w:p>
    <w:p>
      <w:pPr>
        <w:pStyle w:val="style0"/>
        <w:numPr>
          <w:ilvl w:val="1"/>
          <w:numId w:val="1"/>
        </w:numPr>
      </w:pPr>
      <w:r>
        <w:rPr>
          <w:rFonts w:ascii="Calibri" w:hAnsi="Calibri"/>
        </w:rPr>
        <w:t>Finalize traceability analysis</w:t>
      </w:r>
    </w:p>
    <w:p>
      <w:pPr>
        <w:pStyle w:val="style0"/>
        <w:numPr>
          <w:ilvl w:val="1"/>
          <w:numId w:val="1"/>
        </w:numPr>
      </w:pPr>
      <w:r>
        <w:rPr>
          <w:rFonts w:ascii="Calibri" w:hAnsi="Calibri"/>
        </w:rPr>
        <w:t>Finalize design review and approval</w:t>
      </w:r>
    </w:p>
    <w:p>
      <w:pPr>
        <w:pStyle w:val="style0"/>
        <w:numPr>
          <w:ilvl w:val="1"/>
          <w:numId w:val="1"/>
        </w:numPr>
      </w:pPr>
      <w:r>
        <w:rPr>
          <w:rFonts w:ascii="Calibri" w:hAnsi="Calibri"/>
        </w:rPr>
        <w:t>Design transfer</w:t>
      </w:r>
    </w:p>
    <w:p>
      <w:pPr>
        <w:pStyle w:val="style0"/>
        <w:numPr>
          <w:ilvl w:val="1"/>
          <w:numId w:val="1"/>
        </w:numPr>
      </w:pPr>
      <w:r>
        <w:rPr>
          <w:rFonts w:ascii="Calibri" w:hAnsi="Calibri"/>
        </w:rPr>
        <w:t>Design release for use</w:t>
      </w:r>
    </w:p>
    <w:p>
      <w:pPr>
        <w:pStyle w:val="style0"/>
        <w:numPr>
          <w:ilvl w:val="1"/>
          <w:numId w:val="1"/>
        </w:numPr>
      </w:pPr>
      <w:r>
        <w:rPr>
          <w:rFonts w:ascii="Calibri" w:hAnsi="Calibri"/>
        </w:rPr>
        <w:t>Automate manufacturing process</w:t>
      </w:r>
    </w:p>
    <w:p>
      <w:pPr>
        <w:pStyle w:val="style0"/>
        <w:numPr>
          <w:ilvl w:val="1"/>
          <w:numId w:val="1"/>
        </w:numPr>
      </w:pPr>
      <w:r>
        <w:rPr>
          <w:rFonts w:ascii="Calibri" w:hAnsi="Calibri"/>
        </w:rPr>
        <w:t>FDA approval</w:t>
      </w:r>
    </w:p>
    <w:p>
      <w:pPr>
        <w:pStyle w:val="style0"/>
        <w:numPr>
          <w:ilvl w:val="1"/>
          <w:numId w:val="1"/>
        </w:numPr>
      </w:pPr>
      <w:r>
        <w:rPr>
          <w:rFonts w:ascii="Calibri" w:hAnsi="Calibri"/>
        </w:rPr>
        <w:t>CE Mark</w:t>
      </w:r>
    </w:p>
    <w:p>
      <w:pPr>
        <w:pStyle w:val="style0"/>
        <w:numPr>
          <w:ilvl w:val="0"/>
          <w:numId w:val="1"/>
        </w:numPr>
      </w:pPr>
      <w:r>
        <w:rPr>
          <w:rFonts w:ascii="Calibri" w:hAnsi="Calibri"/>
        </w:rPr>
        <w:t>Design Verification &amp; Validation</w:t>
      </w:r>
    </w:p>
    <w:p>
      <w:pPr>
        <w:pStyle w:val="style0"/>
        <w:numPr>
          <w:ilvl w:val="1"/>
          <w:numId w:val="1"/>
        </w:numPr>
      </w:pPr>
      <w:r>
        <w:rPr>
          <w:rFonts w:ascii="Calibri" w:hAnsi="Calibri"/>
        </w:rPr>
        <w:t>Proper design verification and validation will be performed on the software according to the verification and validation control procedure.</w:t>
      </w:r>
    </w:p>
    <w:p>
      <w:pPr>
        <w:pStyle w:val="style0"/>
        <w:numPr>
          <w:ilvl w:val="1"/>
          <w:numId w:val="1"/>
        </w:numPr>
      </w:pPr>
      <w:r>
        <w:rPr/>
        <w:t>Design verification and validation activities can occur concurrently, and the general outline of the steps are:</w:t>
      </w:r>
    </w:p>
    <w:p>
      <w:pPr>
        <w:pStyle w:val="style0"/>
        <w:numPr>
          <w:ilvl w:val="2"/>
          <w:numId w:val="1"/>
        </w:numPr>
      </w:pPr>
      <w:r>
        <w:rPr/>
        <w:t>Development &amp; approval of design verification and validation test protocols.</w:t>
      </w:r>
    </w:p>
    <w:p>
      <w:pPr>
        <w:pStyle w:val="style0"/>
        <w:numPr>
          <w:ilvl w:val="2"/>
          <w:numId w:val="1"/>
        </w:numPr>
      </w:pPr>
      <w:r>
        <w:rPr/>
        <w:t>Execution of design verification and validation test protocols.</w:t>
      </w:r>
    </w:p>
    <w:p>
      <w:pPr>
        <w:pStyle w:val="style0"/>
        <w:numPr>
          <w:ilvl w:val="2"/>
          <w:numId w:val="1"/>
        </w:numPr>
      </w:pPr>
      <w:r>
        <w:rPr/>
        <w:t>Summary of design verification and validation testing into summary reports.</w:t>
      </w:r>
    </w:p>
    <w:p>
      <w:pPr>
        <w:pStyle w:val="style0"/>
        <w:numPr>
          <w:ilvl w:val="2"/>
          <w:numId w:val="1"/>
        </w:numPr>
      </w:pPr>
      <w:r>
        <w:rPr/>
        <w:t>Approval of design verification and validation test reports.</w:t>
      </w:r>
    </w:p>
    <w:p>
      <w:pPr>
        <w:pStyle w:val="style0"/>
        <w:numPr>
          <w:ilvl w:val="2"/>
          <w:numId w:val="1"/>
        </w:numPr>
      </w:pPr>
      <w:r>
        <w:rPr/>
        <w:t>Review of testing to determine that all design requirements have been adequately tested and the results demonstrate device performance meets the design requirements.</w:t>
      </w:r>
    </w:p>
    <w:p>
      <w:pPr>
        <w:pStyle w:val="style0"/>
        <w:numPr>
          <w:ilvl w:val="2"/>
          <w:numId w:val="1"/>
        </w:numPr>
      </w:pPr>
      <w:r>
        <w:rPr/>
        <w:t>Execution of Traceability Analysis.</w:t>
      </w:r>
    </w:p>
    <w:p>
      <w:pPr>
        <w:pStyle w:val="style0"/>
        <w:numPr>
          <w:ilvl w:val="2"/>
          <w:numId w:val="1"/>
        </w:numPr>
      </w:pPr>
      <w:r>
        <w:rPr/>
        <w:t>Clinical activities (e.g., trials) that support design validation will be managed via EPIC’s Clinical group.</w:t>
      </w:r>
    </w:p>
    <w:p>
      <w:pPr>
        <w:pStyle w:val="style0"/>
        <w:numPr>
          <w:ilvl w:val="0"/>
          <w:numId w:val="1"/>
        </w:numPr>
      </w:pPr>
      <w:r>
        <w:rPr>
          <w:rFonts w:ascii="Calibri" w:hAnsi="Calibri"/>
        </w:rPr>
        <w:t>Risk Analysis</w:t>
      </w:r>
    </w:p>
    <w:p>
      <w:pPr>
        <w:pStyle w:val="style0"/>
        <w:numPr>
          <w:ilvl w:val="1"/>
          <w:numId w:val="1"/>
        </w:numPr>
      </w:pPr>
      <w:r>
        <w:rPr>
          <w:rFonts w:ascii="Calibri" w:hAnsi="Calibri"/>
        </w:rPr>
        <w:t>A risk analysis will be described, performed, and recorded according to the risk analysis control procedure.</w:t>
      </w:r>
    </w:p>
    <w:p>
      <w:pPr>
        <w:pStyle w:val="style0"/>
        <w:numPr>
          <w:ilvl w:val="0"/>
          <w:numId w:val="1"/>
        </w:numPr>
      </w:pPr>
      <w:r>
        <w:rPr>
          <w:rFonts w:ascii="Calibri" w:hAnsi="Calibri"/>
        </w:rPr>
        <w:t>Design History File</w:t>
      </w:r>
    </w:p>
    <w:p>
      <w:pPr>
        <w:pStyle w:val="style0"/>
        <w:numPr>
          <w:ilvl w:val="1"/>
          <w:numId w:val="1"/>
        </w:numPr>
      </w:pPr>
      <w:r>
        <w:rPr>
          <w:rFonts w:ascii="Calibri" w:hAnsi="Calibri"/>
        </w:rPr>
        <w:t>The outputs of this effort will be generated and added to the Design History File (DHF) in accordance with the requirements of EG-001, Design Control Procedure and EG-010, Software Development.</w:t>
      </w:r>
    </w:p>
    <w:p>
      <w:pPr>
        <w:pStyle w:val="style0"/>
        <w:numPr>
          <w:ilvl w:val="0"/>
          <w:numId w:val="1"/>
        </w:numPr>
      </w:pPr>
      <w:r>
        <w:rPr/>
        <w:t>Project constraints</w:t>
      </w:r>
    </w:p>
    <w:p>
      <w:pPr>
        <w:pStyle w:val="style0"/>
        <w:numPr>
          <w:ilvl w:val="1"/>
          <w:numId w:val="1"/>
        </w:numPr>
      </w:pPr>
      <w:r>
        <w:rPr/>
        <w:t>Known project constraints at this time are identified and maintained in the Project Task List.  Any additional constraints will be managed through EPIC staff and process review meetings and/or documented via revisions of this plan.</w:t>
      </w:r>
    </w:p>
    <w:p>
      <w:pPr>
        <w:pStyle w:val="style0"/>
        <w:numPr>
          <w:ilvl w:val="0"/>
          <w:numId w:val="1"/>
        </w:numPr>
      </w:pPr>
      <w:r>
        <w:rPr/>
        <w:t xml:space="preserve">Design history file (DHF) </w:t>
      </w:r>
    </w:p>
    <w:p>
      <w:pPr>
        <w:pStyle w:val="style0"/>
        <w:numPr>
          <w:ilvl w:val="1"/>
          <w:numId w:val="1"/>
        </w:numPr>
      </w:pPr>
      <w:r>
        <w:rPr/>
        <w:t>The outputs of this effort will be generated and added to the Design History File (DHF) in accordance with the requirements of EG-001, Design Control Procedure.</w:t>
      </w:r>
    </w:p>
    <w:p>
      <w:pPr>
        <w:pStyle w:val="style0"/>
      </w:pPr>
      <w:r>
        <w:rPr/>
      </w:r>
    </w:p>
    <w:p>
      <w:pPr>
        <w:pStyle w:val="style0"/>
        <w:pageBreakBefore/>
      </w:pPr>
      <w:r>
        <w:rPr>
          <w:rFonts w:ascii="Calibri" w:cs="Calibri" w:hAnsi="Calibri"/>
          <w:b/>
          <w:bCs/>
          <w:caps/>
          <w:sz w:val="24"/>
          <w:szCs w:val="24"/>
        </w:rPr>
        <w:t>Revision History</w:t>
        <w:br/>
      </w:r>
    </w:p>
    <w:tbl>
      <w:tblPr>
        <w:jc w:val="left"/>
        <w:tblInd w:type="dxa" w:w="-4"/>
        <w:tblBorders>
          <w:top w:color="000001" w:space="0" w:sz="4" w:val="single"/>
          <w:left w:color="000001" w:space="0" w:sz="4" w:val="single"/>
          <w:bottom w:color="000001" w:space="0" w:sz="4" w:val="single"/>
          <w:insideH w:color="000001" w:space="0" w:sz="4" w:val="single"/>
          <w:right w:val="none"/>
          <w:insideV w:val="none"/>
        </w:tblBorders>
        <w:tblCellMar>
          <w:top w:type="dxa" w:w="0"/>
          <w:left w:type="dxa" w:w="98"/>
          <w:bottom w:type="dxa" w:w="0"/>
          <w:right w:type="dxa" w:w="108"/>
        </w:tblCellMar>
      </w:tblPr>
      <w:tblGrid>
        <w:gridCol w:w="1793"/>
        <w:gridCol w:w="1434"/>
        <w:gridCol w:w="5173"/>
        <w:gridCol w:w="2609"/>
      </w:tblGrid>
      <w:tr>
        <w:trPr>
          <w:tblHeader w:val="true"/>
          <w:trHeight w:hRule="atLeast" w:val="845"/>
          <w:cantSplit w:val="true"/>
        </w:trPr>
        <w:tc>
          <w:tcPr>
            <w:tcW w:type="dxa" w:w="1793"/>
            <w:tcBorders>
              <w:top w:color="000001" w:space="0" w:sz="4" w:val="single"/>
              <w:left w:color="000001" w:space="0" w:sz="4" w:val="single"/>
              <w:bottom w:color="000001" w:space="0" w:sz="4" w:val="single"/>
              <w:right w:val="none"/>
            </w:tcBorders>
            <w:shd w:fill="BFBFBF" w:val="clear"/>
            <w:tcMar>
              <w:left w:type="dxa" w:w="98"/>
            </w:tcMar>
          </w:tcPr>
          <w:p>
            <w:pPr>
              <w:pStyle w:val="style0"/>
              <w:spacing w:after="120" w:before="120"/>
              <w:contextualSpacing w:val="false"/>
              <w:jc w:val="center"/>
            </w:pPr>
            <w:r>
              <w:rPr>
                <w:rFonts w:ascii="Calibri" w:cs="Calibri" w:hAnsi="Calibri"/>
                <w:b/>
                <w:sz w:val="24"/>
                <w:szCs w:val="24"/>
              </w:rPr>
              <w:t>Revision</w:t>
            </w:r>
          </w:p>
        </w:tc>
        <w:tc>
          <w:tcPr>
            <w:tcW w:type="dxa" w:w="1434"/>
            <w:tcBorders>
              <w:top w:color="000001" w:space="0" w:sz="4" w:val="single"/>
              <w:left w:color="000001" w:space="0" w:sz="4" w:val="single"/>
              <w:bottom w:color="000001" w:space="0" w:sz="4" w:val="single"/>
              <w:right w:val="none"/>
            </w:tcBorders>
            <w:shd w:fill="BFBFBF" w:val="clear"/>
            <w:tcMar>
              <w:left w:type="dxa" w:w="98"/>
            </w:tcMar>
          </w:tcPr>
          <w:p>
            <w:pPr>
              <w:pStyle w:val="style0"/>
              <w:spacing w:after="120" w:before="120"/>
              <w:contextualSpacing w:val="false"/>
            </w:pPr>
            <w:r>
              <w:rPr>
                <w:rFonts w:ascii="Calibri" w:cs="Calibri" w:hAnsi="Calibri"/>
                <w:b/>
                <w:sz w:val="24"/>
                <w:szCs w:val="24"/>
              </w:rPr>
              <w:t>Revision Date</w:t>
            </w:r>
          </w:p>
        </w:tc>
        <w:tc>
          <w:tcPr>
            <w:tcW w:type="dxa" w:w="5173"/>
            <w:tcBorders>
              <w:top w:color="000001" w:space="0" w:sz="4" w:val="single"/>
              <w:left w:color="000001" w:space="0" w:sz="4" w:val="single"/>
              <w:bottom w:color="000001" w:space="0" w:sz="4" w:val="single"/>
              <w:right w:val="none"/>
            </w:tcBorders>
            <w:shd w:fill="BFBFBF" w:val="clear"/>
            <w:tcMar>
              <w:left w:type="dxa" w:w="98"/>
            </w:tcMar>
          </w:tcPr>
          <w:p>
            <w:pPr>
              <w:pStyle w:val="style0"/>
              <w:spacing w:after="120" w:before="120"/>
              <w:contextualSpacing w:val="false"/>
            </w:pPr>
            <w:r>
              <w:rPr>
                <w:rFonts w:ascii="Calibri" w:cs="Calibri" w:hAnsi="Calibri"/>
                <w:b/>
                <w:sz w:val="24"/>
                <w:szCs w:val="24"/>
              </w:rPr>
              <w:t>Reason for Revision/Change Request</w:t>
            </w:r>
          </w:p>
        </w:tc>
        <w:tc>
          <w:tcPr>
            <w:tcW w:type="dxa" w:w="2609"/>
            <w:tcBorders>
              <w:top w:color="000001" w:space="0" w:sz="4" w:val="single"/>
              <w:left w:color="000001" w:space="0" w:sz="4" w:val="single"/>
              <w:bottom w:color="000001" w:space="0" w:sz="4" w:val="single"/>
              <w:right w:color="000001" w:space="0" w:sz="4" w:val="single"/>
            </w:tcBorders>
            <w:shd w:fill="BFBFBF" w:val="clear"/>
            <w:tcMar>
              <w:left w:type="dxa" w:w="98"/>
            </w:tcMar>
          </w:tcPr>
          <w:p>
            <w:pPr>
              <w:pStyle w:val="style0"/>
              <w:spacing w:after="120" w:before="120"/>
              <w:contextualSpacing w:val="false"/>
            </w:pPr>
            <w:r>
              <w:rPr>
                <w:rFonts w:ascii="Calibri" w:cs="Calibri" w:hAnsi="Calibri"/>
                <w:b/>
                <w:sz w:val="24"/>
                <w:szCs w:val="24"/>
              </w:rPr>
              <w:t>Revised By</w:t>
            </w:r>
          </w:p>
        </w:tc>
      </w:tr>
      <w:tr>
        <w:trPr>
          <w:trHeight w:hRule="atLeast" w:val="542"/>
          <w:cantSplit w:val="true"/>
        </w:trPr>
        <w:tc>
          <w:tcPr>
            <w:tcW w:type="dxa" w:w="1793"/>
            <w:tcBorders>
              <w:top w:color="000001" w:space="0" w:sz="4" w:val="single"/>
              <w:left w:color="000001" w:space="0" w:sz="6" w:val="single"/>
              <w:bottom w:color="000001" w:space="0" w:sz="4" w:val="single"/>
              <w:right w:val="none"/>
            </w:tcBorders>
            <w:shd w:fill="FFFFFF" w:val="clear"/>
            <w:tcMar>
              <w:left w:type="dxa" w:w="92"/>
            </w:tcMar>
          </w:tcPr>
          <w:p>
            <w:pPr>
              <w:pStyle w:val="style0"/>
              <w:spacing w:after="120" w:before="120"/>
              <w:contextualSpacing w:val="false"/>
              <w:jc w:val="center"/>
            </w:pPr>
            <w:r>
              <w:rPr>
                <w:rFonts w:ascii="Calibri" w:cs="Calibri" w:hAnsi="Calibri"/>
                <w:sz w:val="24"/>
                <w:szCs w:val="24"/>
              </w:rPr>
              <w:t>000</w:t>
            </w:r>
          </w:p>
        </w:tc>
        <w:tc>
          <w:tcPr>
            <w:tcW w:type="dxa" w:w="1434"/>
            <w:tcBorders>
              <w:top w:color="000001" w:space="0" w:sz="4" w:val="single"/>
              <w:left w:color="000001" w:space="0" w:sz="6" w:val="single"/>
              <w:bottom w:color="000001" w:space="0" w:sz="4" w:val="single"/>
              <w:right w:val="none"/>
            </w:tcBorders>
            <w:shd w:fill="FFFFFF" w:val="clear"/>
            <w:tcMar>
              <w:left w:type="dxa" w:w="92"/>
            </w:tcMar>
          </w:tcPr>
          <w:p>
            <w:pPr>
              <w:pStyle w:val="style0"/>
              <w:spacing w:after="120" w:before="120"/>
              <w:contextualSpacing w:val="false"/>
            </w:pPr>
            <w:r>
              <w:rPr>
                <w:rFonts w:ascii="Calibri" w:cs="Calibri" w:hAnsi="Calibri"/>
                <w:sz w:val="24"/>
                <w:szCs w:val="24"/>
              </w:rPr>
              <w:t>08Aug12</w:t>
            </w:r>
          </w:p>
        </w:tc>
        <w:tc>
          <w:tcPr>
            <w:tcW w:type="dxa" w:w="5173"/>
            <w:tcBorders>
              <w:top w:color="000001" w:space="0" w:sz="4" w:val="single"/>
              <w:left w:color="000001" w:space="0" w:sz="6" w:val="single"/>
              <w:bottom w:color="000001" w:space="0" w:sz="4" w:val="single"/>
              <w:right w:val="none"/>
            </w:tcBorders>
            <w:shd w:fill="FFFFFF" w:val="clear"/>
            <w:tcMar>
              <w:left w:type="dxa" w:w="92"/>
            </w:tcMar>
          </w:tcPr>
          <w:p>
            <w:pPr>
              <w:pStyle w:val="style30"/>
              <w:spacing w:after="120" w:before="120"/>
              <w:contextualSpacing w:val="false"/>
            </w:pPr>
            <w:r>
              <w:rPr>
                <w:rFonts w:ascii="Calibri" w:cs="Calibri" w:hAnsi="Calibri"/>
                <w:sz w:val="24"/>
                <w:szCs w:val="24"/>
              </w:rPr>
              <w:t>Initial Release</w:t>
            </w:r>
          </w:p>
        </w:tc>
        <w:tc>
          <w:tcPr>
            <w:tcW w:type="dxa" w:w="2609"/>
            <w:tcBorders>
              <w:top w:color="000001" w:space="0" w:sz="4" w:val="single"/>
              <w:left w:color="000001" w:space="0" w:sz="6" w:val="single"/>
              <w:bottom w:color="000001" w:space="0" w:sz="4" w:val="single"/>
              <w:right w:color="000001" w:space="0" w:sz="6" w:val="single"/>
            </w:tcBorders>
            <w:shd w:fill="FFFFFF" w:val="clear"/>
            <w:tcMar>
              <w:left w:type="dxa" w:w="92"/>
            </w:tcMar>
          </w:tcPr>
          <w:p>
            <w:pPr>
              <w:pStyle w:val="style0"/>
              <w:spacing w:after="120" w:before="120"/>
              <w:contextualSpacing w:val="false"/>
            </w:pPr>
            <w:r>
              <w:rPr>
                <w:rFonts w:ascii="Calibri" w:cs="Calibri" w:hAnsi="Calibri"/>
                <w:color w:val="000000"/>
                <w:sz w:val="24"/>
                <w:szCs w:val="24"/>
              </w:rPr>
              <w:t>S. Pletzer</w:t>
            </w:r>
          </w:p>
        </w:tc>
      </w:tr>
      <w:tr>
        <w:trPr>
          <w:trHeight w:hRule="atLeast" w:val="542"/>
          <w:cantSplit w:val="true"/>
        </w:trPr>
        <w:tc>
          <w:tcPr>
            <w:tcW w:type="dxa" w:w="1793"/>
            <w:tcBorders>
              <w:top w:color="000001" w:space="0" w:sz="4" w:val="single"/>
              <w:left w:color="000001" w:space="0" w:sz="6" w:val="single"/>
              <w:bottom w:color="000001" w:space="0" w:sz="6" w:val="single"/>
              <w:right w:val="none"/>
            </w:tcBorders>
            <w:shd w:fill="FFFFFF" w:val="clear"/>
            <w:tcMar>
              <w:left w:type="dxa" w:w="92"/>
            </w:tcMar>
          </w:tcPr>
          <w:p>
            <w:pPr>
              <w:pStyle w:val="style0"/>
              <w:spacing w:after="120" w:before="120"/>
              <w:contextualSpacing w:val="false"/>
              <w:jc w:val="center"/>
            </w:pPr>
            <w:r>
              <w:rPr>
                <w:rFonts w:ascii="Calibri" w:cs="Calibri" w:hAnsi="Calibri"/>
                <w:sz w:val="24"/>
                <w:szCs w:val="24"/>
              </w:rPr>
              <w:t>001</w:t>
            </w:r>
          </w:p>
        </w:tc>
        <w:tc>
          <w:tcPr>
            <w:tcW w:type="dxa" w:w="1434"/>
            <w:tcBorders>
              <w:top w:color="000001" w:space="0" w:sz="4" w:val="single"/>
              <w:left w:color="000001" w:space="0" w:sz="6" w:val="single"/>
              <w:bottom w:color="000001" w:space="0" w:sz="6" w:val="single"/>
              <w:right w:val="none"/>
            </w:tcBorders>
            <w:shd w:fill="FFFFFF" w:val="clear"/>
            <w:tcMar>
              <w:left w:type="dxa" w:w="92"/>
            </w:tcMar>
          </w:tcPr>
          <w:p>
            <w:pPr>
              <w:pStyle w:val="style0"/>
              <w:spacing w:after="120" w:before="120"/>
              <w:contextualSpacing w:val="false"/>
            </w:pPr>
            <w:r>
              <w:rPr>
                <w:rFonts w:ascii="Calibri" w:cs="Calibri" w:hAnsi="Calibri"/>
                <w:sz w:val="24"/>
                <w:szCs w:val="24"/>
              </w:rPr>
              <w:t>xxFeb13</w:t>
            </w:r>
          </w:p>
        </w:tc>
        <w:tc>
          <w:tcPr>
            <w:tcW w:type="dxa" w:w="5173"/>
            <w:tcBorders>
              <w:top w:color="000001" w:space="0" w:sz="4" w:val="single"/>
              <w:left w:color="000001" w:space="0" w:sz="6" w:val="single"/>
              <w:bottom w:color="000001" w:space="0" w:sz="6" w:val="single"/>
              <w:right w:val="none"/>
            </w:tcBorders>
            <w:shd w:fill="FFFFFF" w:val="clear"/>
            <w:tcMar>
              <w:left w:type="dxa" w:w="92"/>
            </w:tcMar>
          </w:tcPr>
          <w:p>
            <w:pPr>
              <w:pStyle w:val="style30"/>
              <w:spacing w:after="120" w:before="120"/>
              <w:contextualSpacing w:val="false"/>
            </w:pPr>
            <w:r>
              <w:rPr>
                <w:rFonts w:ascii="Calibri" w:cs="Calibri" w:hAnsi="Calibri"/>
                <w:sz w:val="24"/>
                <w:szCs w:val="24"/>
              </w:rPr>
              <w:t>Complete Re-write</w:t>
            </w:r>
          </w:p>
        </w:tc>
        <w:tc>
          <w:tcPr>
            <w:tcW w:type="dxa" w:w="2609"/>
            <w:tcBorders>
              <w:top w:color="000001" w:space="0" w:sz="4" w:val="single"/>
              <w:left w:color="000001" w:space="0" w:sz="6" w:val="single"/>
              <w:bottom w:color="000001" w:space="0" w:sz="6" w:val="single"/>
              <w:right w:color="000001" w:space="0" w:sz="6" w:val="single"/>
            </w:tcBorders>
            <w:shd w:fill="FFFFFF" w:val="clear"/>
            <w:tcMar>
              <w:left w:type="dxa" w:w="92"/>
            </w:tcMar>
          </w:tcPr>
          <w:p>
            <w:pPr>
              <w:pStyle w:val="style0"/>
              <w:spacing w:after="120" w:before="120"/>
              <w:contextualSpacing w:val="false"/>
            </w:pPr>
            <w:r>
              <w:rPr>
                <w:rFonts w:ascii="Calibri" w:cs="Calibri" w:hAnsi="Calibri"/>
                <w:color w:val="000000"/>
                <w:sz w:val="24"/>
                <w:szCs w:val="24"/>
              </w:rPr>
              <w:t>B. Cullinan</w:t>
            </w:r>
          </w:p>
        </w:tc>
      </w:tr>
    </w:tbl>
    <w:p>
      <w:pPr>
        <w:pStyle w:val="style0"/>
        <w:tabs>
          <w:tab w:leader="none" w:pos="3780" w:val="left"/>
        </w:tabs>
        <w:spacing w:after="200" w:before="0"/>
        <w:ind w:hanging="540" w:left="1260" w:right="0"/>
        <w:contextualSpacing w:val="false"/>
      </w:pPr>
      <w:r>
        <w:rPr/>
      </w:r>
    </w:p>
    <w:sectPr>
      <w:headerReference r:id="rId2" w:type="default"/>
      <w:footerReference r:id="rId3" w:type="default"/>
      <w:type w:val="nextPage"/>
      <w:pgSz w:h="15840" w:w="12240"/>
      <w:pgMar w:bottom="2033" w:footer="720" w:gutter="0" w:header="720" w:left="720" w:right="720" w:top="777"/>
      <w:pgNumType w:fmt="decimal"/>
      <w:formProt w:val="false"/>
      <w:textDirection w:val="lrTb"/>
      <w:docGrid w:charSpace="0" w:linePitch="326" w:type="default"/>
    </w:sectPr>
  </w:body>
</w:document>
</file>

<file path=word/fontTable.xml><?xml version="1.0" encoding="utf-8"?>
<w:fonts xmlns:r="http://schemas.openxmlformats.org/officeDocument/2006/relationship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00"/>
    <w:family w:val="swiss"/>
    <w:pitch w:val="variable"/>
  </w:font>
  <w:font w:name="Tahoma">
    <w:charset w:val="00"/>
    <w:family w:val="roman"/>
    <w:pitch w:val="variable"/>
  </w:font>
  <w:font w:name="OpenSymbol">
    <w:altName w:val="Arial Unicode MS"/>
    <w:charset w:val="80"/>
    <w:family w:val="auto"/>
    <w:pitch w:val="default"/>
  </w:font>
  <w:font w:name="Calibri">
    <w:charset w:val="00"/>
    <w:family w:val="roman"/>
    <w:pitch w:val="variable"/>
  </w:font>
  <w:font w:name="Calibri">
    <w:altName w:val="sans-serif"/>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style22"/>
      <w:tabs>
        <w:tab w:leader="none" w:pos="10080" w:val="right"/>
      </w:tabs>
    </w:pPr>
    <w:r>
      <w:rPr>
        <w:rFonts w:ascii="Calibri;sans-serif" w:hAnsi="Calibri;sans-serif"/>
        <w:sz w:val="18"/>
      </w:rPr>
      <w:t>Design &amp; Development Plan (DDP) ClearView Software</w:t>
      <w:tab/>
      <w:t>Confidential &amp; Proprietary</w:t>
    </w:r>
  </w:p>
  <w:p>
    <w:pPr>
      <w:pStyle w:val="style22"/>
      <w:tabs>
        <w:tab w:leader="none" w:pos="10080" w:val="right"/>
      </w:tabs>
    </w:pPr>
    <w:r>
      <w:rPr>
        <w:rFonts w:ascii="Calibri;sans-serif" w:hAnsi="Calibri;sans-serif"/>
        <w:sz w:val="18"/>
      </w:rPr>
      <w:t>Document Number: DDP-009</w:t>
      <w:tab/>
      <w:t>Page 1</w:t>
    </w:r>
    <w:r>
      <w:rPr/>
      <w:t xml:space="preserve"> </w:t>
    </w:r>
    <w:r>
      <w:rPr>
        <w:rFonts w:ascii="Calibri;sans-serif" w:hAnsi="Calibri;sans-serif"/>
        <w:sz w:val="18"/>
      </w:rPr>
      <w:t>of 3</w:t>
    </w:r>
  </w:p>
  <w:p>
    <w:pPr>
      <w:pStyle w:val="style22"/>
      <w:tabs>
        <w:tab w:leader="none" w:pos="10080" w:val="right"/>
      </w:tabs>
      <w:spacing w:after="120" w:before="0"/>
      <w:contextualSpacing w:val="false"/>
    </w:pPr>
    <w:r>
      <w:rPr>
        <w:rFonts w:ascii="Calibri;sans-serif" w:hAnsi="Calibri;sans-serif"/>
        <w:sz w:val="18"/>
      </w:rPr>
      <w:t>Revision Number: 001</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tbl>
    <w:tblPr>
      <w:jc w:val="left"/>
      <w:tblInd w:type="dxa" w:w="-118"/>
      <w:tblBorders>
        <w:top w:color="00000A" w:space="0" w:sz="4" w:val="single"/>
        <w:left w:color="00000A" w:space="0" w:sz="4" w:val="single"/>
        <w:bottom w:color="00000A" w:space="0" w:sz="4" w:val="single"/>
        <w:insideH w:color="00000A" w:space="0" w:sz="4" w:val="single"/>
        <w:right w:color="00000A" w:space="0" w:sz="4" w:val="single"/>
        <w:insideV w:color="00000A" w:space="0" w:sz="4" w:val="single"/>
      </w:tblBorders>
      <w:tblCellMar>
        <w:top w:type="dxa" w:w="0"/>
        <w:left w:type="dxa" w:w="98"/>
        <w:bottom w:type="dxa" w:w="0"/>
        <w:right w:type="dxa" w:w="108"/>
      </w:tblCellMar>
    </w:tblPr>
    <w:tblGrid>
      <w:gridCol w:w="3183"/>
      <w:gridCol w:w="7812"/>
    </w:tblGrid>
    <w:tr>
      <w:trPr>
        <w:trHeight w:hRule="atLeast" w:val="1160"/>
        <w:cantSplit w:val="true"/>
      </w:trPr>
      <w:tc>
        <w:tcPr>
          <w:tcW w:type="dxa" w:w="3183"/>
          <w:tcBorders>
            <w:top w:color="00000A" w:space="0" w:sz="4" w:val="single"/>
            <w:left w:color="00000A" w:space="0" w:sz="4" w:val="single"/>
            <w:bottom w:color="00000A" w:space="0" w:sz="4" w:val="single"/>
            <w:right w:color="00000A" w:space="0" w:sz="4" w:val="single"/>
          </w:tcBorders>
          <w:shd w:fill="FFFFFF" w:val="clear"/>
          <w:tcMar>
            <w:left w:type="dxa" w:w="98"/>
          </w:tcMar>
          <w:vAlign w:val="center"/>
        </w:tcPr>
        <w:p>
          <w:pPr>
            <w:pStyle w:val="style0"/>
            <w:spacing w:after="60" w:before="60"/>
            <w:contextualSpacing w:val="false"/>
            <w:jc w:val="center"/>
          </w:pPr>
          <w:r>
            <w:rPr/>
            <w:drawing>
              <wp:inline distB="0" distL="0" distR="0" distT="0">
                <wp:extent cx="1885950" cy="571500"/>
                <wp:effectExtent b="0" l="0" r="0" t="0"/>
                <wp:docPr descr="EPIC_Horizontalsmall" id="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EPIC_Horizontalsmall" id="0" name="Picture"/>
                        <pic:cNvPicPr>
                          <a:picLocks noChangeArrowheads="1" noChangeAspect="1"/>
                        </pic:cNvPicPr>
                      </pic:nvPicPr>
                      <pic:blipFill>
                        <a:blip r:embed="rId1"/>
                        <a:srcRect/>
                        <a:stretch>
                          <a:fillRect/>
                        </a:stretch>
                      </pic:blipFill>
                      <pic:spPr bwMode="auto">
                        <a:xfrm>
                          <a:off x="0" y="0"/>
                          <a:ext cx="1885950" cy="571500"/>
                        </a:xfrm>
                        <a:prstGeom prst="rect">
                          <a:avLst/>
                        </a:prstGeom>
                        <a:noFill/>
                        <a:ln w="9525">
                          <a:noFill/>
                          <a:miter lim="800000"/>
                          <a:headEnd/>
                          <a:tailEnd/>
                        </a:ln>
                      </pic:spPr>
                    </pic:pic>
                  </a:graphicData>
                </a:graphic>
              </wp:inline>
            </w:drawing>
          </w:r>
        </w:p>
      </w:tc>
      <w:tc>
        <w:tcPr>
          <w:tcW w:type="dxa" w:w="7812"/>
          <w:tcBorders>
            <w:top w:color="00000A" w:space="0" w:sz="4" w:val="single"/>
            <w:left w:color="00000A" w:space="0" w:sz="4" w:val="single"/>
            <w:bottom w:color="00000A" w:space="0" w:sz="4" w:val="single"/>
            <w:right w:color="00000A" w:space="0" w:sz="4" w:val="single"/>
          </w:tcBorders>
          <w:shd w:fill="FFFFFF" w:val="clear"/>
          <w:tcMar>
            <w:left w:type="dxa" w:w="98"/>
          </w:tcMar>
          <w:vAlign w:val="center"/>
        </w:tcPr>
        <w:p>
          <w:pPr>
            <w:pStyle w:val="style27"/>
            <w:jc w:val="center"/>
          </w:pPr>
          <w:r>
            <w:rPr>
              <w:rFonts w:ascii="Calibri" w:cs="Calibri" w:hAnsi="Calibri"/>
              <w:b/>
              <w:sz w:val="32"/>
              <w:szCs w:val="32"/>
            </w:rPr>
            <w:t xml:space="preserve">Design &amp; Development Plan (DDP) </w:t>
          </w:r>
        </w:p>
        <w:p>
          <w:pPr>
            <w:pStyle w:val="style27"/>
            <w:jc w:val="center"/>
          </w:pPr>
          <w:r>
            <w:rPr>
              <w:rFonts w:ascii="Calibri" w:cs="Calibri" w:hAnsi="Calibri"/>
              <w:b/>
              <w:sz w:val="32"/>
              <w:szCs w:val="32"/>
            </w:rPr>
            <w:t>ClearView Software</w:t>
          </w:r>
        </w:p>
      </w:tc>
    </w:tr>
  </w:tbl>
  <w:p>
    <w:pPr>
      <w:pStyle w:val="style27"/>
    </w:pPr>
    <w:r>
      <w:rPr/>
    </w:r>
  </w:p>
</w:hdr>
</file>

<file path=word/numbering.xml><?xml version="1.0" encoding="utf-8"?>
<w:numbering xmlns:w="http://schemas.openxmlformats.org/wordprocessingml/2006/main">
  <w:abstractNum w:abstractNumId="1">
    <w:lvl w:ilvl="0">
      <w:start w:val="1"/>
      <w:numFmt w:val="decimal"/>
      <w:lvlText w:val=" %1 "/>
      <w:lvlJc w:val="left"/>
      <w:pPr>
        <w:tabs>
          <w:tab w:pos="720" w:val="num"/>
        </w:tabs>
        <w:ind w:hanging="360" w:left="720"/>
      </w:pPr>
    </w:lvl>
    <w:lvl w:ilvl="1">
      <w:start w:val="1"/>
      <w:numFmt w:val="decimal"/>
      <w:lvlText w:val=" %1.%2 "/>
      <w:lvlJc w:val="left"/>
      <w:pPr>
        <w:tabs>
          <w:tab w:pos="1080" w:val="num"/>
        </w:tabs>
        <w:ind w:hanging="360" w:left="1080"/>
      </w:pPr>
    </w:lvl>
    <w:lvl w:ilvl="2">
      <w:start w:val="1"/>
      <w:numFmt w:val="decimal"/>
      <w:lvlText w:val=" %1.%2.%3 "/>
      <w:lvlJc w:val="left"/>
      <w:pPr>
        <w:tabs>
          <w:tab w:pos="1440" w:val="num"/>
        </w:tabs>
        <w:ind w:hanging="360" w:left="1440"/>
      </w:pPr>
    </w:lvl>
    <w:lvl w:ilvl="3">
      <w:start w:val="1"/>
      <w:numFmt w:val="decimal"/>
      <w:lvlText w:val=" %1.%2.%3.%4 "/>
      <w:lvlJc w:val="left"/>
      <w:pPr>
        <w:tabs>
          <w:tab w:pos="1800" w:val="num"/>
        </w:tabs>
        <w:ind w:hanging="360" w:left="1800"/>
      </w:pPr>
    </w:lvl>
    <w:lvl w:ilvl="4">
      <w:start w:val="1"/>
      <w:numFmt w:val="decimal"/>
      <w:lvlText w:val=" %1.%2.%3.%4.%5 "/>
      <w:lvlJc w:val="left"/>
      <w:pPr>
        <w:tabs>
          <w:tab w:pos="2160" w:val="num"/>
        </w:tabs>
        <w:ind w:hanging="360" w:left="2160"/>
      </w:pPr>
    </w:lvl>
    <w:lvl w:ilvl="5">
      <w:start w:val="1"/>
      <w:numFmt w:val="decimal"/>
      <w:lvlText w:val=" %1.%2.%3.%4.%5.%6 "/>
      <w:lvlJc w:val="left"/>
      <w:pPr>
        <w:tabs>
          <w:tab w:pos="2520" w:val="num"/>
        </w:tabs>
        <w:ind w:hanging="360" w:left="2520"/>
      </w:pPr>
    </w:lvl>
    <w:lvl w:ilvl="6">
      <w:start w:val="1"/>
      <w:numFmt w:val="decimal"/>
      <w:lvlText w:val=" %1.%2.%3.%4.%5.%6.%7 "/>
      <w:lvlJc w:val="left"/>
      <w:pPr>
        <w:tabs>
          <w:tab w:pos="2880" w:val="num"/>
        </w:tabs>
        <w:ind w:hanging="360" w:left="2880"/>
      </w:pPr>
    </w:lvl>
    <w:lvl w:ilvl="7">
      <w:start w:val="1"/>
      <w:numFmt w:val="decimal"/>
      <w:lvlText w:val=" %1.%2.%3.%4.%5.%6.%7.%8 "/>
      <w:lvlJc w:val="left"/>
      <w:pPr>
        <w:tabs>
          <w:tab w:pos="3240" w:val="num"/>
        </w:tabs>
        <w:ind w:hanging="360" w:left="3240"/>
      </w:pPr>
    </w:lvl>
    <w:lvl w:ilvl="8">
      <w:start w:val="1"/>
      <w:numFmt w:val="decimal"/>
      <w:lvlText w:val=" %1.%2.%3.%4.%5.%6.%7.%8.%9 "/>
      <w:lvlJc w:val="left"/>
      <w:pPr>
        <w:tabs>
          <w:tab w:pos="3600" w:val="num"/>
        </w:tabs>
        <w:ind w:hanging="360" w:left="3600"/>
      </w:pPr>
    </w:lvl>
  </w:abstractNum>
  <w:abstractNum w:abstractNumId="2">
    <w:lvl w:ilvl="0">
      <w:start w:val="1"/>
      <w:numFmt w:val="none"/>
      <w:suff w:val="nothing"/>
      <w:lvlText w:val=""/>
      <w:lvlJc w:val="left"/>
      <w:pPr>
        <w:tabs>
          <w:tab w:pos="432" w:val="num"/>
        </w:tabs>
        <w:ind w:hanging="432" w:left="432"/>
      </w:pPr>
    </w:lvl>
    <w:lvl w:ilvl="1">
      <w:start w:val="1"/>
      <w:numFmt w:val="none"/>
      <w:suff w:val="nothing"/>
      <w:lvlText w:val=""/>
      <w:lvlJc w:val="left"/>
      <w:pPr>
        <w:tabs>
          <w:tab w:pos="576" w:val="num"/>
        </w:tabs>
        <w:ind w:hanging="576" w:left="576"/>
      </w:pPr>
    </w:lvl>
    <w:lvl w:ilvl="2">
      <w:start w:val="1"/>
      <w:numFmt w:val="none"/>
      <w:suff w:val="nothing"/>
      <w:lvlText w:val=""/>
      <w:lvlJc w:val="left"/>
      <w:pPr>
        <w:tabs>
          <w:tab w:pos="720" w:val="num"/>
        </w:tabs>
        <w:ind w:hanging="720" w:left="720"/>
      </w:pPr>
    </w:lvl>
    <w:lvl w:ilvl="3">
      <w:start w:val="1"/>
      <w:numFmt w:val="none"/>
      <w:suff w:val="nothing"/>
      <w:lvlText w:val=""/>
      <w:lvlJc w:val="left"/>
      <w:pPr>
        <w:tabs>
          <w:tab w:pos="864" w:val="num"/>
        </w:tabs>
        <w:ind w:hanging="864" w:left="864"/>
      </w:pPr>
    </w:lvl>
    <w:lvl w:ilvl="4">
      <w:start w:val="1"/>
      <w:numFmt w:val="none"/>
      <w:suff w:val="nothing"/>
      <w:lvlText w:val=""/>
      <w:lvlJc w:val="left"/>
      <w:pPr>
        <w:tabs>
          <w:tab w:pos="1008" w:val="num"/>
        </w:tabs>
        <w:ind w:hanging="1008" w:left="1008"/>
      </w:pPr>
    </w:lvl>
    <w:lvl w:ilvl="5">
      <w:start w:val="1"/>
      <w:numFmt w:val="none"/>
      <w:suff w:val="nothing"/>
      <w:lvlText w:val=""/>
      <w:lvlJc w:val="left"/>
      <w:pPr>
        <w:tabs>
          <w:tab w:pos="1152" w:val="num"/>
        </w:tabs>
        <w:ind w:hanging="1152" w:left="1152"/>
      </w:pPr>
    </w:lvl>
    <w:lvl w:ilvl="6">
      <w:start w:val="1"/>
      <w:numFmt w:val="none"/>
      <w:suff w:val="nothing"/>
      <w:lvlText w:val=""/>
      <w:lvlJc w:val="left"/>
      <w:pPr>
        <w:tabs>
          <w:tab w:pos="1296" w:val="num"/>
        </w:tabs>
        <w:ind w:hanging="1296" w:left="1296"/>
      </w:pPr>
    </w:lvl>
    <w:lvl w:ilvl="7">
      <w:start w:val="1"/>
      <w:numFmt w:val="none"/>
      <w:suff w:val="nothing"/>
      <w:lvlText w:val=""/>
      <w:lvlJc w:val="left"/>
      <w:pPr>
        <w:tabs>
          <w:tab w:pos="1440" w:val="num"/>
        </w:tabs>
        <w:ind w:hanging="1440" w:left="1440"/>
      </w:pPr>
    </w:lvl>
    <w:lvl w:ilvl="8">
      <w:start w:val="1"/>
      <w:numFmt w:val="none"/>
      <w:suff w:val="nothing"/>
      <w:lvlText w:val=""/>
      <w:lvlJc w:val="left"/>
      <w:pPr>
        <w:tabs>
          <w:tab w:pos="1584" w:val="num"/>
        </w:tabs>
        <w:ind w:hanging="1584" w:left="1584"/>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style w:styleId="style0" w:type="paragraph">
    <w:name w:val="Default Style"/>
    <w:next w:val="style0"/>
    <w:pPr>
      <w:widowControl w:val="false"/>
      <w:suppressAutoHyphens w:val="true"/>
      <w:spacing w:after="200" w:before="0" w:line="276" w:lineRule="auto"/>
      <w:contextualSpacing w:val="false"/>
    </w:pPr>
    <w:rPr>
      <w:rFonts w:ascii="Times New Roman" w:cs="Mangal" w:eastAsia="SimSun" w:hAnsi="Times New Roman"/>
      <w:color w:val="00000A"/>
      <w:sz w:val="24"/>
      <w:szCs w:val="24"/>
      <w:lang w:bidi="hi-IN" w:eastAsia="zh-CN" w:val="en-US"/>
    </w:rPr>
  </w:style>
  <w:style w:styleId="style2" w:type="paragraph">
    <w:name w:val="Heading 2"/>
    <w:basedOn w:val="style21"/>
    <w:next w:val="style2"/>
    <w:pPr/>
    <w:rPr>
      <w:rFonts w:ascii="Times New Roman" w:cs="Tahoma" w:eastAsia="Segoe UI" w:hAnsi="Times New Roman"/>
      <w:b/>
      <w:bCs/>
      <w:sz w:val="36"/>
      <w:szCs w:val="36"/>
    </w:rPr>
  </w:style>
  <w:style w:styleId="style15" w:type="character">
    <w:name w:val="Default Paragraph Font"/>
    <w:next w:val="style15"/>
    <w:rPr/>
  </w:style>
  <w:style w:styleId="style16" w:type="character">
    <w:name w:val="Header Char"/>
    <w:basedOn w:val="style15"/>
    <w:next w:val="style16"/>
    <w:rPr>
      <w:rFonts w:ascii="Times New Roman" w:cs="Mangal" w:eastAsia="SimSun" w:hAnsi="Times New Roman"/>
      <w:sz w:val="24"/>
      <w:szCs w:val="21"/>
      <w:lang w:bidi="hi-IN" w:eastAsia="zh-CN"/>
    </w:rPr>
  </w:style>
  <w:style w:styleId="style17" w:type="character">
    <w:name w:val="Footer Char"/>
    <w:basedOn w:val="style15"/>
    <w:next w:val="style17"/>
    <w:rPr>
      <w:rFonts w:ascii="Times New Roman" w:cs="Mangal" w:eastAsia="SimSun" w:hAnsi="Times New Roman"/>
      <w:sz w:val="24"/>
      <w:szCs w:val="21"/>
      <w:lang w:bidi="hi-IN" w:eastAsia="zh-CN"/>
    </w:rPr>
  </w:style>
  <w:style w:styleId="style18" w:type="character">
    <w:name w:val="Balloon Text Char"/>
    <w:basedOn w:val="style15"/>
    <w:next w:val="style18"/>
    <w:rPr>
      <w:rFonts w:ascii="Tahoma" w:cs="Mangal" w:eastAsia="SimSun" w:hAnsi="Tahoma"/>
      <w:sz w:val="16"/>
      <w:szCs w:val="14"/>
      <w:lang w:bidi="hi-IN" w:eastAsia="zh-CN"/>
    </w:rPr>
  </w:style>
  <w:style w:styleId="style19" w:type="character">
    <w:name w:val="Bullets"/>
    <w:next w:val="style19"/>
    <w:rPr>
      <w:rFonts w:ascii="OpenSymbol" w:cs="OpenSymbol" w:eastAsia="OpenSymbol" w:hAnsi="OpenSymbol"/>
    </w:rPr>
  </w:style>
  <w:style w:styleId="style20" w:type="character">
    <w:name w:val="Numbering Symbols"/>
    <w:next w:val="style20"/>
    <w:rPr>
      <w:rFonts w:ascii="Calibri" w:hAnsi="Calibri"/>
    </w:rPr>
  </w:style>
  <w:style w:styleId="style21" w:type="paragraph">
    <w:name w:val="Heading"/>
    <w:basedOn w:val="style0"/>
    <w:next w:val="style22"/>
    <w:pPr>
      <w:keepNext/>
      <w:spacing w:after="120" w:before="240"/>
      <w:contextualSpacing w:val="false"/>
    </w:pPr>
    <w:rPr>
      <w:rFonts w:ascii="Arial" w:cs="Mangal" w:eastAsia="Microsoft YaHei" w:hAnsi="Arial"/>
      <w:sz w:val="28"/>
      <w:szCs w:val="28"/>
    </w:rPr>
  </w:style>
  <w:style w:styleId="style22" w:type="paragraph">
    <w:name w:val="Text Body"/>
    <w:basedOn w:val="style0"/>
    <w:next w:val="style22"/>
    <w:pPr>
      <w:spacing w:after="120" w:before="0"/>
      <w:contextualSpacing w:val="false"/>
    </w:pPr>
    <w:rPr/>
  </w:style>
  <w:style w:styleId="style23" w:type="paragraph">
    <w:name w:val="List"/>
    <w:basedOn w:val="style22"/>
    <w:next w:val="style23"/>
    <w:pPr/>
    <w:rPr>
      <w:rFonts w:cs="Mangal"/>
    </w:rPr>
  </w:style>
  <w:style w:styleId="style24" w:type="paragraph">
    <w:name w:val="Caption"/>
    <w:basedOn w:val="style0"/>
    <w:next w:val="style24"/>
    <w:pPr>
      <w:suppressLineNumbers/>
      <w:spacing w:after="120" w:before="120"/>
      <w:contextualSpacing w:val="false"/>
    </w:pPr>
    <w:rPr>
      <w:rFonts w:cs="Mangal"/>
      <w:i/>
      <w:iCs/>
      <w:sz w:val="24"/>
      <w:szCs w:val="24"/>
    </w:rPr>
  </w:style>
  <w:style w:styleId="style25" w:type="paragraph">
    <w:name w:val="Index"/>
    <w:basedOn w:val="style0"/>
    <w:next w:val="style25"/>
    <w:pPr>
      <w:suppressLineNumbers/>
    </w:pPr>
    <w:rPr>
      <w:rFonts w:cs="Mangal"/>
    </w:rPr>
  </w:style>
  <w:style w:styleId="style26" w:type="paragraph">
    <w:name w:val="caption"/>
    <w:basedOn w:val="style0"/>
    <w:next w:val="style26"/>
    <w:pPr>
      <w:suppressLineNumbers/>
      <w:spacing w:after="120" w:before="120"/>
      <w:contextualSpacing w:val="false"/>
    </w:pPr>
    <w:rPr>
      <w:i/>
      <w:iCs/>
    </w:rPr>
  </w:style>
  <w:style w:styleId="style27" w:type="paragraph">
    <w:name w:val="Header"/>
    <w:basedOn w:val="style0"/>
    <w:next w:val="style27"/>
    <w:pPr>
      <w:suppressLineNumbers/>
      <w:tabs>
        <w:tab w:leader="none" w:pos="4680" w:val="center"/>
        <w:tab w:leader="none" w:pos="9360" w:val="right"/>
      </w:tabs>
      <w:spacing w:after="0" w:before="0" w:line="100" w:lineRule="atLeast"/>
      <w:contextualSpacing w:val="false"/>
    </w:pPr>
    <w:rPr>
      <w:sz w:val="21"/>
      <w:szCs w:val="21"/>
    </w:rPr>
  </w:style>
  <w:style w:styleId="style28" w:type="paragraph">
    <w:name w:val="Footer"/>
    <w:basedOn w:val="style0"/>
    <w:next w:val="style28"/>
    <w:pPr>
      <w:suppressLineNumbers/>
      <w:tabs>
        <w:tab w:leader="none" w:pos="4680" w:val="center"/>
        <w:tab w:leader="none" w:pos="9360" w:val="right"/>
      </w:tabs>
      <w:spacing w:after="0" w:before="0" w:line="100" w:lineRule="atLeast"/>
      <w:contextualSpacing w:val="false"/>
    </w:pPr>
    <w:rPr>
      <w:sz w:val="21"/>
      <w:szCs w:val="21"/>
    </w:rPr>
  </w:style>
  <w:style w:styleId="style29" w:type="paragraph">
    <w:name w:val="Balloon Text"/>
    <w:basedOn w:val="style0"/>
    <w:next w:val="style29"/>
    <w:pPr>
      <w:spacing w:after="0" w:before="0" w:line="100" w:lineRule="atLeast"/>
      <w:contextualSpacing w:val="false"/>
    </w:pPr>
    <w:rPr>
      <w:rFonts w:ascii="Tahoma" w:hAnsi="Tahoma"/>
      <w:sz w:val="16"/>
      <w:szCs w:val="14"/>
    </w:rPr>
  </w:style>
  <w:style w:styleId="style30" w:type="paragraph">
    <w:name w:val="Index 1"/>
    <w:basedOn w:val="style0"/>
    <w:next w:val="style30"/>
    <w:pPr/>
    <w:rPr/>
  </w:style>
  <w:style w:styleId="style31" w:type="paragraph">
    <w:name w:val="Table Contents"/>
    <w:basedOn w:val="style0"/>
    <w:next w:val="style31"/>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11.jpeg"/>
</Relationships>
</file>

<file path=docProps/app.xml><?xml version="1.0" encoding="utf-8"?>
<Properties xmlns="http://schemas.openxmlformats.org/officeDocument/2006/extended-properties" xmlns:vt="http://schemas.openxmlformats.org/officeDocument/2006/docPropsVTypes">
  <Template>20C93FBC.dotm</Template>
  <TotalTime>1</TotalTime>
  <Application>LibreOffice/4.0.0.3$Windows_x86 LibreOffice_project/7545bee9c2a0782548772a21bc84a9dcc583b89</Applicat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2013-02-04T15:28:00.00Z</dcterms:created>
  <cp:lastModifiedBy>Brian Cullinan</cp:lastModifiedBy>
  <dcterms:modified xsi:type="dcterms:W3CDTF">2013-02-04T22:31:00.00Z</dcterms:modified>
  <cp:revision>1</cp:revision>
</cp:coreProperties>
</file>