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2542"/>
      </w:tblGrid>
      <w:tr w:rsidR="003A2F68" w:rsidTr="00356FE5">
        <w:trPr>
          <w:trHeight w:val="4104"/>
        </w:trPr>
        <w:tc>
          <w:tcPr>
            <w:tcW w:w="10080" w:type="dxa"/>
            <w:vAlign w:val="bottom"/>
          </w:tcPr>
          <w:p w:rsidR="003A2F68" w:rsidRDefault="004920BE" w:rsidP="009213CD">
            <w:pPr>
              <w:pStyle w:val="CoverPageTitle"/>
              <w:spacing w:after="0"/>
            </w:pPr>
            <w:sdt>
              <w:sdtPr>
                <w:alias w:val="Enter title:"/>
                <w:tag w:val="Enter title:"/>
                <w:id w:val="656652538"/>
                <w:placeholder>
                  <w:docPart w:val="B121051B4D094106A15FE03D0713B38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 w:multiLine="1"/>
              </w:sdtPr>
              <w:sdtEndPr/>
              <w:sdtContent>
                <w:r w:rsidR="00954F3C">
                  <w:t>Data Report</w:t>
                </w:r>
              </w:sdtContent>
            </w:sdt>
          </w:p>
        </w:tc>
      </w:tr>
      <w:tr w:rsidR="007B0A29" w:rsidTr="007C770C">
        <w:tc>
          <w:tcPr>
            <w:tcW w:w="10080" w:type="dxa"/>
          </w:tcPr>
          <w:p w:rsidR="007B0A29" w:rsidRDefault="00954F3C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088074" cy="3374136"/>
                  <wp:effectExtent l="0" t="0" r="0" b="0"/>
                  <wp:docPr id="2" name="Picture 2" descr="F:\Springboard Google Drive\Springboard-Brian\Springboard Curriculum\Unit 6 - Guided Capstone\Sk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pringboard Google Drive\Springboard-Brian\Springboard Curriculum\Unit 6 - Guided Capstone\Sk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074" cy="337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346"/>
        <w:gridCol w:w="7964"/>
      </w:tblGrid>
      <w:tr w:rsidR="00D4773D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:rsidR="00D4773D" w:rsidRPr="00783448" w:rsidRDefault="00954F3C" w:rsidP="00954F3C">
            <w:pPr>
              <w:pStyle w:val="Date"/>
            </w:pPr>
            <w:r>
              <w:t>06-Aug-2020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:rsidR="00D4773D" w:rsidRPr="00A5429D" w:rsidRDefault="004920BE" w:rsidP="00954F3C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5986D87C30A04C69B05DCB1C4F82DA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 w:multiLine="1"/>
              </w:sdtPr>
              <w:sdtEndPr/>
              <w:sdtContent>
                <w:r w:rsidR="00954F3C">
                  <w:t>Big Mountain Resort</w:t>
                </w:r>
              </w:sdtContent>
            </w:sdt>
          </w:p>
        </w:tc>
      </w:tr>
    </w:tbl>
    <w:p w:rsidR="00356FE5" w:rsidRDefault="00356FE5" w:rsidP="00356FE5">
      <w:pPr>
        <w:spacing w:after="120"/>
        <w:ind w:left="2520"/>
        <w:rPr>
          <w:sz w:val="26"/>
          <w:szCs w:val="26"/>
        </w:rPr>
      </w:pPr>
    </w:p>
    <w:p w:rsidR="00D4773D" w:rsidRPr="007C770C" w:rsidRDefault="00E65809" w:rsidP="00356FE5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Ski lift cost recovery recommendations.</w:t>
      </w:r>
      <w:r w:rsidR="00D4773D" w:rsidRPr="007C770C">
        <w:rPr>
          <w:sz w:val="26"/>
          <w:szCs w:val="26"/>
        </w:rPr>
        <w:br w:type="page"/>
      </w:r>
    </w:p>
    <w:p w:rsidR="00106B79" w:rsidRDefault="004920BE">
      <w:pPr>
        <w:pStyle w:val="Title"/>
      </w:pPr>
      <w:sdt>
        <w:sdtPr>
          <w:alias w:val="Title:"/>
          <w:tag w:val="Title:"/>
          <w:id w:val="-1055697181"/>
          <w:placeholder>
            <w:docPart w:val="4A4A0D02330943FA8D57B3D3341D2A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 w:multiLine="1"/>
        </w:sdtPr>
        <w:sdtEndPr/>
        <w:sdtContent>
          <w:r w:rsidR="00954F3C">
            <w:t>Data Report</w:t>
          </w:r>
        </w:sdtContent>
      </w:sdt>
    </w:p>
    <w:sdt>
      <w:sdtPr>
        <w:alias w:val="Subtitle:"/>
        <w:tag w:val="Subtitle:"/>
        <w:id w:val="219697527"/>
        <w:placeholder>
          <w:docPart w:val="E73B5294832B4AB78C50FB92A6574D79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 w:multiLine="1"/>
      </w:sdtPr>
      <w:sdtEndPr/>
      <w:sdtContent>
        <w:p w:rsidR="00106B79" w:rsidRDefault="00954F3C">
          <w:pPr>
            <w:pStyle w:val="Subtitle"/>
          </w:pPr>
          <w:r>
            <w:t>Big Mountain Resort</w:t>
          </w:r>
        </w:p>
      </w:sdtContent>
    </w:sdt>
    <w:p w:rsidR="00DC305C" w:rsidRDefault="00E65809" w:rsidP="00DC305C">
      <w:pPr>
        <w:pStyle w:val="Heading1"/>
        <w:rPr>
          <w:rFonts w:eastAsia="Times New Roman"/>
        </w:rPr>
      </w:pPr>
      <w:r>
        <w:t>EXECUTIVE Summary</w:t>
      </w:r>
    </w:p>
    <w:p w:rsidR="008E55FA" w:rsidRDefault="008E55FA" w:rsidP="00DC305C">
      <w:pPr>
        <w:pStyle w:val="Heading2"/>
        <w:rPr>
          <w:rFonts w:asciiTheme="minorHAnsi" w:eastAsia="Times New Roman" w:hAnsiTheme="minorHAnsi"/>
          <w:b w:val="0"/>
          <w:color w:val="auto"/>
          <w:spacing w:val="0"/>
          <w:sz w:val="23"/>
          <w:szCs w:val="23"/>
        </w:rPr>
      </w:pPr>
      <w:r w:rsidRPr="008E55FA">
        <w:rPr>
          <w:rFonts w:asciiTheme="minorHAnsi" w:eastAsia="Times New Roman" w:hAnsiTheme="minorHAnsi"/>
          <w:b w:val="0"/>
          <w:color w:val="auto"/>
          <w:spacing w:val="0"/>
          <w:sz w:val="23"/>
          <w:szCs w:val="23"/>
        </w:rPr>
        <w:t>To cover the additional operating costs of the new lift and to maintain a profit margin of at least 9.2% the ticket prices should be raised from $81 to $86-generating $1.75 mil in additional revenue.  This will mo</w:t>
      </w:r>
      <w:r>
        <w:rPr>
          <w:rFonts w:asciiTheme="minorHAnsi" w:eastAsia="Times New Roman" w:hAnsiTheme="minorHAnsi"/>
          <w:b w:val="0"/>
          <w:color w:val="auto"/>
          <w:spacing w:val="0"/>
          <w:sz w:val="23"/>
          <w:szCs w:val="23"/>
        </w:rPr>
        <w:t>ve Big Mountain Resort from the</w:t>
      </w:r>
      <w:r w:rsidRPr="008E55FA">
        <w:rPr>
          <w:rFonts w:asciiTheme="minorHAnsi" w:eastAsia="Times New Roman" w:hAnsiTheme="minorHAnsi"/>
          <w:b w:val="0"/>
          <w:color w:val="auto"/>
          <w:spacing w:val="0"/>
          <w:sz w:val="23"/>
          <w:szCs w:val="23"/>
        </w:rPr>
        <w:t xml:space="preserve"> 84th percentile to the 87th percentile in price as compared to the other resorts in the marketplace.  The additional $1.75 mil in revenue will cover the additional $1.54 mil in operating costs due to the new ski lift and the overall profit margin would increase to 9.3%</w:t>
      </w:r>
    </w:p>
    <w:p w:rsidR="008E55FA" w:rsidRDefault="008E55FA" w:rsidP="00DC305C">
      <w:pPr>
        <w:pStyle w:val="Heading2"/>
        <w:rPr>
          <w:rFonts w:asciiTheme="minorHAnsi" w:eastAsia="Times New Roman" w:hAnsiTheme="minorHAnsi"/>
          <w:b w:val="0"/>
          <w:color w:val="auto"/>
          <w:spacing w:val="0"/>
          <w:sz w:val="23"/>
          <w:szCs w:val="23"/>
        </w:rPr>
      </w:pPr>
    </w:p>
    <w:p w:rsidR="008E55FA" w:rsidRDefault="005B3586" w:rsidP="008E55FA">
      <w:pPr>
        <w:pStyle w:val="Heading1"/>
        <w:rPr>
          <w:rFonts w:eastAsia="Times New Roman"/>
        </w:rPr>
      </w:pPr>
      <w:r>
        <w:t>Data &amp; MODELING</w:t>
      </w:r>
    </w:p>
    <w:p w:rsidR="00052A4A" w:rsidRDefault="005B3586" w:rsidP="00DC305C">
      <w:pPr>
        <w:rPr>
          <w:rFonts w:eastAsia="Times New Roman"/>
        </w:rPr>
      </w:pPr>
      <w:r w:rsidRPr="005B3586">
        <w:rPr>
          <w:rFonts w:eastAsia="Times New Roman"/>
        </w:rPr>
        <w:t>Several linear regression models were used against a dataset of 300+ comparable resorts and the best model was chosen based on explained variance and mean absolute error.  A summary table of the models used in the analysis is given below.</w:t>
      </w:r>
    </w:p>
    <w:p w:rsidR="005B3586" w:rsidRDefault="005B3586" w:rsidP="005B3586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4A50928D" wp14:editId="447F6AF1">
            <wp:extent cx="58483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86" w:rsidRDefault="005B3586" w:rsidP="005B3586">
      <w:pPr>
        <w:pStyle w:val="Heading1"/>
        <w:rPr>
          <w:rFonts w:eastAsia="Times New Roman"/>
        </w:rPr>
      </w:pPr>
      <w:r>
        <w:t>Model 1</w:t>
      </w:r>
    </w:p>
    <w:p w:rsidR="00E97694" w:rsidRDefault="005B3586" w:rsidP="00E97694">
      <w:pPr>
        <w:rPr>
          <w:rFonts w:eastAsia="Times New Roman"/>
        </w:rPr>
      </w:pPr>
      <w:r w:rsidRPr="005B3586">
        <w:rPr>
          <w:rFonts w:eastAsia="Times New Roman"/>
        </w:rPr>
        <w:t>Model 1 was the best and it was used to predict the fair price of a weekend ticket for Big Mountain Resort based on all the available features.  As can be seen below the model projec</w:t>
      </w:r>
      <w:r w:rsidR="00E97694">
        <w:rPr>
          <w:rFonts w:eastAsia="Times New Roman"/>
        </w:rPr>
        <w:t xml:space="preserve">ted a price of $85.34, however, </w:t>
      </w:r>
      <w:r w:rsidRPr="005B3586">
        <w:rPr>
          <w:rFonts w:eastAsia="Times New Roman"/>
        </w:rPr>
        <w:t>if you adjust the features to include an additional fastQuads lift the price prediction increases to $85.87.</w:t>
      </w:r>
    </w:p>
    <w:p w:rsidR="005B3586" w:rsidRDefault="005B3586" w:rsidP="00E97694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FE5B22F" wp14:editId="3CCC0054">
            <wp:extent cx="33337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94" w:rsidRDefault="00E97694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97694" w:rsidRDefault="00E97694" w:rsidP="00E97694">
      <w:pPr>
        <w:pStyle w:val="Heading1"/>
        <w:rPr>
          <w:rFonts w:eastAsia="Times New Roman"/>
        </w:rPr>
      </w:pPr>
      <w:r>
        <w:lastRenderedPageBreak/>
        <w:t>ElevaTION Ranking</w:t>
      </w:r>
    </w:p>
    <w:p w:rsidR="00E97694" w:rsidRDefault="00E97694" w:rsidP="00E97694">
      <w:pPr>
        <w:rPr>
          <w:rFonts w:eastAsia="Times New Roman"/>
        </w:rPr>
      </w:pPr>
      <w:r>
        <w:rPr>
          <w:rFonts w:eastAsia="Times New Roman"/>
        </w:rPr>
        <w:t xml:space="preserve">Big Mountain Resort (magenta data point) is in </w:t>
      </w:r>
      <w:r w:rsidRPr="00E97694">
        <w:rPr>
          <w:rFonts w:eastAsia="Times New Roman"/>
        </w:rPr>
        <w:t>the middle of the pack when it comes to elevation ranking.</w:t>
      </w:r>
    </w:p>
    <w:p w:rsidR="005B3586" w:rsidRDefault="00E97694" w:rsidP="00E97694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306824" cy="2943578"/>
            <wp:effectExtent l="0" t="0" r="0" b="9525"/>
            <wp:docPr id="5" name="Picture 5" descr="F:\Springboard Google Drive\Springboard-Brian\Springboard Curriculum\Unit 6 - Guided Capstone\Step6 - Documentation\New Solution - BTD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pringboard Google Drive\Springboard-Brian\Springboard Curriculum\Unit 6 - Guided Capstone\Step6 - Documentation\New Solution - BTD\fig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29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694" w:rsidRDefault="00E97694" w:rsidP="00E97694">
      <w:pPr>
        <w:pStyle w:val="Heading1"/>
        <w:rPr>
          <w:rFonts w:eastAsia="Times New Roman"/>
        </w:rPr>
      </w:pPr>
      <w:r>
        <w:t>PRICe</w:t>
      </w:r>
      <w:r>
        <w:t xml:space="preserve"> Ranking</w:t>
      </w:r>
    </w:p>
    <w:p w:rsidR="00E97694" w:rsidRDefault="00E97694" w:rsidP="00DC305C">
      <w:r w:rsidRPr="00E97694">
        <w:rPr>
          <w:rStyle w:val="Strong"/>
          <w:b w:val="0"/>
          <w:color w:val="0E101A"/>
        </w:rPr>
        <w:t>Big Mountain Resort</w:t>
      </w:r>
      <w:r w:rsidR="00AC5B97">
        <w:rPr>
          <w:rStyle w:val="Strong"/>
          <w:b w:val="0"/>
          <w:color w:val="0E101A"/>
        </w:rPr>
        <w:t xml:space="preserve"> </w:t>
      </w:r>
      <w:r w:rsidR="00AC5B97">
        <w:rPr>
          <w:rFonts w:eastAsia="Times New Roman"/>
        </w:rPr>
        <w:t>(magenta data point)</w:t>
      </w:r>
      <w:r w:rsidRPr="00E97694">
        <w:rPr>
          <w:rStyle w:val="Strong"/>
          <w:b w:val="0"/>
          <w:color w:val="0E101A"/>
        </w:rPr>
        <w:t xml:space="preserve"> is in the</w:t>
      </w:r>
      <w:r>
        <w:t xml:space="preserve"> </w:t>
      </w:r>
      <w:r>
        <w:t>84th percentile in price ranking and will move up to the 87th percentile after the price is increased to $86. The resorts range in price from $17 to $179. The average price is approximately $64. </w:t>
      </w:r>
    </w:p>
    <w:p w:rsidR="00E97694" w:rsidRDefault="00E97694" w:rsidP="00E97694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1F44D72" wp14:editId="544BE63B">
            <wp:extent cx="4308429" cy="3075709"/>
            <wp:effectExtent l="0" t="0" r="0" b="0"/>
            <wp:docPr id="6" name="Picture 6" descr="F:\Springboard Google Drive\Springboard-Brian\Springboard Curriculum\Unit 6 - Guided Capstone\Step6 - Documentation\New Solution - BTD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pringboard Google Drive\Springboard-Brian\Springboard Curriculum\Unit 6 - Guided Capstone\Step6 - Documentation\New Solution - BTD\fig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73" cy="30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97" w:rsidRDefault="00AC5B97" w:rsidP="00E97694">
      <w:pPr>
        <w:jc w:val="center"/>
        <w:rPr>
          <w:rFonts w:eastAsia="Times New Roman"/>
        </w:rPr>
      </w:pPr>
    </w:p>
    <w:p w:rsidR="008F5614" w:rsidRDefault="008F5614" w:rsidP="008F5614">
      <w:pPr>
        <w:pStyle w:val="Heading1"/>
        <w:rPr>
          <w:rFonts w:eastAsia="Times New Roman"/>
        </w:rPr>
      </w:pPr>
      <w:r>
        <w:lastRenderedPageBreak/>
        <w:t>Night Skiing</w:t>
      </w:r>
      <w:r>
        <w:t xml:space="preserve"> Ranking</w:t>
      </w:r>
    </w:p>
    <w:p w:rsidR="00AC5B97" w:rsidRDefault="00AC5B97" w:rsidP="00AC5B97">
      <w:pPr>
        <w:rPr>
          <w:rFonts w:eastAsia="Times New Roman"/>
        </w:rPr>
      </w:pPr>
      <w:r w:rsidRPr="00AC5B97">
        <w:rPr>
          <w:rFonts w:eastAsia="Times New Roman"/>
        </w:rPr>
        <w:t>Big Mountain Resort (magenta data point) is classified as an outlier in this category and it coul</w:t>
      </w:r>
      <w:r>
        <w:rPr>
          <w:rFonts w:eastAsia="Times New Roman"/>
        </w:rPr>
        <w:t xml:space="preserve">d very well </w:t>
      </w:r>
      <w:r w:rsidRPr="00AC5B97">
        <w:rPr>
          <w:rFonts w:eastAsia="Times New Roman"/>
        </w:rPr>
        <w:t>explain why the ticket prices at the resort command an above-average price.</w:t>
      </w:r>
    </w:p>
    <w:p w:rsidR="00E97694" w:rsidRDefault="008F5614" w:rsidP="00E97694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306824" cy="3085081"/>
            <wp:effectExtent l="0" t="0" r="0" b="1270"/>
            <wp:docPr id="7" name="Picture 7" descr="F:\Springboard Google Drive\Springboard-Brian\Springboard Curriculum\Unit 6 - Guided Capstone\Step6 - Documentation\New Solution - BTD\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pringboard Google Drive\Springboard-Brian\Springboard Curriculum\Unit 6 - Guided Capstone\Step6 - Documentation\New Solution - BTD\fig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30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97" w:rsidRDefault="00AC5B97" w:rsidP="00AC5B97">
      <w:pPr>
        <w:pStyle w:val="Heading1"/>
        <w:rPr>
          <w:rFonts w:eastAsia="Times New Roman"/>
        </w:rPr>
      </w:pPr>
      <w:r>
        <w:t>Conclusions</w:t>
      </w:r>
    </w:p>
    <w:p w:rsidR="009F0D36" w:rsidRPr="009F0D36" w:rsidRDefault="009F0D36" w:rsidP="009F0D36">
      <w:pPr>
        <w:rPr>
          <w:rFonts w:eastAsia="Times New Roman"/>
        </w:rPr>
      </w:pPr>
      <w:r w:rsidRPr="009F0D36">
        <w:rPr>
          <w:rFonts w:eastAsia="Times New Roman"/>
        </w:rPr>
        <w:t>Assuming Big Mountain Resort continues to attract 350,000 visitors per year at a ticket price of $81 the annual revenues would be $28.35 mil.  With a historical profit margin of 9.2%, this would imply total expenses would be approximately $25.74 mil annually.</w:t>
      </w:r>
    </w:p>
    <w:p w:rsidR="009F0D36" w:rsidRPr="009F0D36" w:rsidRDefault="009F0D36" w:rsidP="009F0D36">
      <w:pPr>
        <w:rPr>
          <w:rFonts w:eastAsia="Times New Roman"/>
        </w:rPr>
      </w:pPr>
      <w:r w:rsidRPr="009F0D36">
        <w:rPr>
          <w:rFonts w:eastAsia="Times New Roman"/>
        </w:rPr>
        <w:t>Th</w:t>
      </w:r>
      <w:r>
        <w:rPr>
          <w:rFonts w:eastAsia="Times New Roman"/>
        </w:rPr>
        <w:t xml:space="preserve">e additional operating expenses </w:t>
      </w:r>
      <w:r w:rsidRPr="009F0D36">
        <w:rPr>
          <w:rFonts w:eastAsia="Times New Roman"/>
        </w:rPr>
        <w:t>due to the new ski lift are</w:t>
      </w:r>
      <w:r w:rsidRPr="009F0D36">
        <w:rPr>
          <w:rFonts w:eastAsia="Times New Roman"/>
        </w:rPr>
        <w:t xml:space="preserve"> $1.54 mil per year.  Ticket prices only need to be raised $4.4 to cover the cost of these additional expenses, however, to maintain the 9.2% historic profitability more revenue needs to be generated.</w:t>
      </w:r>
    </w:p>
    <w:p w:rsidR="00AC5B97" w:rsidRDefault="009F0D36" w:rsidP="009F0D36">
      <w:pPr>
        <w:rPr>
          <w:rFonts w:eastAsia="Times New Roman"/>
        </w:rPr>
      </w:pPr>
      <w:r w:rsidRPr="009F0D36">
        <w:rPr>
          <w:rFonts w:eastAsia="Times New Roman"/>
        </w:rPr>
        <w:t xml:space="preserve">The pricing model in this report suggests a fair price of $86 for a Big </w:t>
      </w:r>
      <w:r w:rsidRPr="009F0D36">
        <w:rPr>
          <w:rFonts w:eastAsia="Times New Roman"/>
        </w:rPr>
        <w:t>Mountain</w:t>
      </w:r>
      <w:r w:rsidRPr="009F0D36">
        <w:rPr>
          <w:rFonts w:eastAsia="Times New Roman"/>
        </w:rPr>
        <w:t xml:space="preserve"> Resort ticket</w:t>
      </w:r>
      <w:r>
        <w:rPr>
          <w:rFonts w:eastAsia="Times New Roman"/>
        </w:rPr>
        <w:t xml:space="preserve">.  At this price point, </w:t>
      </w:r>
      <w:r w:rsidRPr="009F0D36">
        <w:rPr>
          <w:rFonts w:eastAsia="Times New Roman"/>
        </w:rPr>
        <w:t xml:space="preserve">the resort will generate $1.75 mil in additional yearly revenue and have a 9.3% profit margin.  The price ranking percentile will move up by 3% and still fall well with the range of competing resorts.  Big </w:t>
      </w:r>
      <w:r w:rsidRPr="009F0D36">
        <w:rPr>
          <w:rFonts w:eastAsia="Times New Roman"/>
        </w:rPr>
        <w:t>Mountain</w:t>
      </w:r>
      <w:r w:rsidRPr="009F0D36">
        <w:rPr>
          <w:rFonts w:eastAsia="Times New Roman"/>
        </w:rPr>
        <w:t xml:space="preserve"> Resort does have a very high night skiing ranking that can help the marketing department justify its above-average pricing.</w:t>
      </w:r>
    </w:p>
    <w:p w:rsidR="009F0D36" w:rsidRDefault="009F0D36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9F0D36" w:rsidRDefault="009F0D36" w:rsidP="009F0D36">
      <w:pPr>
        <w:pStyle w:val="Heading1"/>
      </w:pPr>
      <w:r>
        <w:lastRenderedPageBreak/>
        <w:t>SUpporting Calculations</w:t>
      </w:r>
    </w:p>
    <w:p w:rsidR="009F0D36" w:rsidRDefault="009F0D36" w:rsidP="009F0D36">
      <w:pPr>
        <w:pStyle w:val="Heading1"/>
        <w:rPr>
          <w:rFonts w:eastAsia="Times New Roman"/>
        </w:rPr>
      </w:pPr>
    </w:p>
    <w:p w:rsidR="009F0D36" w:rsidRDefault="009F0D36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77E53C3" wp14:editId="430BB088">
            <wp:extent cx="26955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36" w:rsidRDefault="009F0D36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73002B2" wp14:editId="3D292867">
            <wp:extent cx="19812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36" w:rsidRDefault="009F0D36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8B472BA" wp14:editId="1A0B2BD2">
            <wp:extent cx="30480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36" w:rsidRDefault="004E063D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6548C72" wp14:editId="0E67CBB4">
            <wp:extent cx="44672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3D" w:rsidRDefault="004E063D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6ABB4B0" wp14:editId="043F6B34">
            <wp:extent cx="2724150" cy="51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3D" w:rsidRDefault="004E063D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B07512A" wp14:editId="392DE250">
            <wp:extent cx="183832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3D" w:rsidRDefault="004E063D" w:rsidP="004E063D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B57F778" wp14:editId="48BD79E1">
            <wp:extent cx="16764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63D" w:rsidSect="00052A4A">
      <w:headerReference w:type="even" r:id="rId25"/>
      <w:footerReference w:type="even" r:id="rId26"/>
      <w:footerReference w:type="default" r:id="rId27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0BE" w:rsidRDefault="004920BE">
      <w:pPr>
        <w:spacing w:after="0" w:line="240" w:lineRule="auto"/>
      </w:pPr>
      <w:r>
        <w:separator/>
      </w:r>
    </w:p>
  </w:endnote>
  <w:endnote w:type="continuationSeparator" w:id="0">
    <w:p w:rsidR="004920BE" w:rsidRDefault="0049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4E063D" w:rsidRPr="004E063D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4E063D" w:rsidRPr="004E063D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0BE" w:rsidRDefault="004920BE">
      <w:pPr>
        <w:spacing w:after="0" w:line="240" w:lineRule="auto"/>
      </w:pPr>
      <w:r>
        <w:separator/>
      </w:r>
    </w:p>
  </w:footnote>
  <w:footnote w:type="continuationSeparator" w:id="0">
    <w:p w:rsidR="004920BE" w:rsidRDefault="0049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5B2" w:rsidRPr="005225B2" w:rsidRDefault="004920BE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 w:multiLine="1"/>
      </w:sdtPr>
      <w:sdtEndPr/>
      <w:sdtContent>
        <w:r w:rsidR="00954F3C">
          <w:rPr>
            <w:rFonts w:eastAsiaTheme="majorEastAsia"/>
          </w:rPr>
          <w:t>Data Report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3C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56FE5"/>
    <w:rsid w:val="003A2F68"/>
    <w:rsid w:val="003E38BF"/>
    <w:rsid w:val="00402606"/>
    <w:rsid w:val="00431B47"/>
    <w:rsid w:val="00431C36"/>
    <w:rsid w:val="004920BE"/>
    <w:rsid w:val="0049775F"/>
    <w:rsid w:val="004E063D"/>
    <w:rsid w:val="005225B2"/>
    <w:rsid w:val="005473E9"/>
    <w:rsid w:val="005B18C0"/>
    <w:rsid w:val="005B3586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83448"/>
    <w:rsid w:val="007B0A29"/>
    <w:rsid w:val="007C770C"/>
    <w:rsid w:val="007D052D"/>
    <w:rsid w:val="007D5DA8"/>
    <w:rsid w:val="00803A31"/>
    <w:rsid w:val="008662AD"/>
    <w:rsid w:val="008E55FA"/>
    <w:rsid w:val="008F5614"/>
    <w:rsid w:val="008F56CC"/>
    <w:rsid w:val="009213CD"/>
    <w:rsid w:val="00954F3C"/>
    <w:rsid w:val="00997ACB"/>
    <w:rsid w:val="009D314A"/>
    <w:rsid w:val="009F0D36"/>
    <w:rsid w:val="00A329B9"/>
    <w:rsid w:val="00A5429D"/>
    <w:rsid w:val="00AC5B97"/>
    <w:rsid w:val="00B426FC"/>
    <w:rsid w:val="00BC0A22"/>
    <w:rsid w:val="00C85AA2"/>
    <w:rsid w:val="00CD12DE"/>
    <w:rsid w:val="00D07941"/>
    <w:rsid w:val="00D4032E"/>
    <w:rsid w:val="00D4773D"/>
    <w:rsid w:val="00D62024"/>
    <w:rsid w:val="00DC305C"/>
    <w:rsid w:val="00E04568"/>
    <w:rsid w:val="00E44E60"/>
    <w:rsid w:val="00E65809"/>
    <w:rsid w:val="00E90D9F"/>
    <w:rsid w:val="00E959BE"/>
    <w:rsid w:val="00E97694"/>
    <w:rsid w:val="00ED1452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EB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GridTableLight">
    <w:name w:val="Grid Table Light"/>
    <w:basedOn w:val="TableNormal"/>
    <w:uiPriority w:val="40"/>
    <w:rsid w:val="003A2F6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customStyle="1" w:styleId="GridTableLight">
    <w:name w:val="Grid Table Light"/>
    <w:basedOn w:val="TableNormal"/>
    <w:uiPriority w:val="40"/>
    <w:rsid w:val="003A2F6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customStyle="1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customStyle="1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og\AppData\Roaming\Microsoft\Templates\Business_report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21051B4D094106A15FE03D0713B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B4AE7-C068-45E4-8520-C674D69AADEB}"/>
      </w:docPartPr>
      <w:docPartBody>
        <w:p w:rsidR="00000000" w:rsidRDefault="00736C11">
          <w:pPr>
            <w:pStyle w:val="B121051B4D094106A15FE03D0713B382"/>
          </w:pPr>
          <w:r w:rsidRPr="009213CD">
            <w:t>title</w:t>
          </w:r>
        </w:p>
      </w:docPartBody>
    </w:docPart>
    <w:docPart>
      <w:docPartPr>
        <w:name w:val="5986D87C30A04C69B05DCB1C4F82D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4673E-65A3-4625-B328-80BBC5B47B0B}"/>
      </w:docPartPr>
      <w:docPartBody>
        <w:p w:rsidR="00000000" w:rsidRDefault="00736C11">
          <w:pPr>
            <w:pStyle w:val="5986D87C30A04C69B05DCB1C4F82DA6F"/>
          </w:pPr>
          <w:r w:rsidRPr="00A5429D">
            <w:t>Subtitle</w:t>
          </w:r>
        </w:p>
      </w:docPartBody>
    </w:docPart>
    <w:docPart>
      <w:docPartPr>
        <w:name w:val="4A4A0D02330943FA8D57B3D3341D2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74F24-5579-4EEC-BA69-E4B44C1B8C4E}"/>
      </w:docPartPr>
      <w:docPartBody>
        <w:p w:rsidR="00000000" w:rsidRDefault="00736C11">
          <w:pPr>
            <w:pStyle w:val="4A4A0D02330943FA8D57B3D3341D2AD4"/>
          </w:pPr>
          <w:r>
            <w:t>Title</w:t>
          </w:r>
        </w:p>
      </w:docPartBody>
    </w:docPart>
    <w:docPart>
      <w:docPartPr>
        <w:name w:val="E73B5294832B4AB78C50FB92A6574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CB69-EA22-4E30-BEBC-C7B90C24A3D3}"/>
      </w:docPartPr>
      <w:docPartBody>
        <w:p w:rsidR="00000000" w:rsidRDefault="00736C11">
          <w:pPr>
            <w:pStyle w:val="E73B5294832B4AB78C50FB92A6574D79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11"/>
    <w:rsid w:val="007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1051B4D094106A15FE03D0713B382">
    <w:name w:val="B121051B4D094106A15FE03D0713B382"/>
  </w:style>
  <w:style w:type="paragraph" w:styleId="Date">
    <w:name w:val="Date"/>
    <w:basedOn w:val="Normal"/>
    <w:link w:val="DateChar"/>
    <w:uiPriority w:val="2"/>
    <w:qFormat/>
    <w:pPr>
      <w:spacing w:after="0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1F3C5E26A9534B4FB81FF620306AE929">
    <w:name w:val="1F3C5E26A9534B4FB81FF620306AE929"/>
  </w:style>
  <w:style w:type="paragraph" w:customStyle="1" w:styleId="5986D87C30A04C69B05DCB1C4F82DA6F">
    <w:name w:val="5986D87C30A04C69B05DCB1C4F82DA6F"/>
  </w:style>
  <w:style w:type="paragraph" w:customStyle="1" w:styleId="A145000AA1374272AA2ED9606722DE41">
    <w:name w:val="A145000AA1374272AA2ED9606722DE41"/>
  </w:style>
  <w:style w:type="paragraph" w:customStyle="1" w:styleId="4A4A0D02330943FA8D57B3D3341D2AD4">
    <w:name w:val="4A4A0D02330943FA8D57B3D3341D2AD4"/>
  </w:style>
  <w:style w:type="paragraph" w:customStyle="1" w:styleId="E73B5294832B4AB78C50FB92A6574D79">
    <w:name w:val="E73B5294832B4AB78C50FB92A6574D7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paragraph" w:customStyle="1" w:styleId="3789AF18748B4AC4A569682CE6BFC80F">
    <w:name w:val="3789AF18748B4AC4A569682CE6BFC80F"/>
  </w:style>
  <w:style w:type="paragraph" w:customStyle="1" w:styleId="0126A00E7E3949D18910124D6F50D919">
    <w:name w:val="0126A00E7E3949D18910124D6F50D919"/>
  </w:style>
  <w:style w:type="paragraph" w:customStyle="1" w:styleId="2D702EC98D6542F78D2EFADF05F3EEBC">
    <w:name w:val="2D702EC98D6542F78D2EFADF05F3EEBC"/>
  </w:style>
  <w:style w:type="paragraph" w:customStyle="1" w:styleId="BDF4635B6E464FA8823FB85A2267A83A">
    <w:name w:val="BDF4635B6E464FA8823FB85A2267A83A"/>
  </w:style>
  <w:style w:type="paragraph" w:customStyle="1" w:styleId="2786667C7B1B4333B7F6513BFFBB4F51">
    <w:name w:val="2786667C7B1B4333B7F6513BFFBB4F51"/>
  </w:style>
  <w:style w:type="paragraph" w:customStyle="1" w:styleId="4A94AA82987545BF825A31128F025099">
    <w:name w:val="4A94AA82987545BF825A31128F025099"/>
  </w:style>
  <w:style w:type="paragraph" w:customStyle="1" w:styleId="8FB8EB7851DA41D181C13BFDD872711C">
    <w:name w:val="8FB8EB7851DA41D181C13BFDD872711C"/>
  </w:style>
  <w:style w:type="paragraph" w:customStyle="1" w:styleId="75F853FA94E1460C9CFAC4925F735225">
    <w:name w:val="75F853FA94E1460C9CFAC4925F735225"/>
  </w:style>
  <w:style w:type="paragraph" w:customStyle="1" w:styleId="04FCCA1C6B184947BEE4140D87773293">
    <w:name w:val="04FCCA1C6B184947BEE4140D87773293"/>
  </w:style>
  <w:style w:type="paragraph" w:customStyle="1" w:styleId="99D52FF12A514BEB819F564289133B78">
    <w:name w:val="99D52FF12A514BEB819F564289133B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1051B4D094106A15FE03D0713B382">
    <w:name w:val="B121051B4D094106A15FE03D0713B382"/>
  </w:style>
  <w:style w:type="paragraph" w:styleId="Date">
    <w:name w:val="Date"/>
    <w:basedOn w:val="Normal"/>
    <w:link w:val="DateChar"/>
    <w:uiPriority w:val="2"/>
    <w:qFormat/>
    <w:pPr>
      <w:spacing w:after="0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1F3C5E26A9534B4FB81FF620306AE929">
    <w:name w:val="1F3C5E26A9534B4FB81FF620306AE929"/>
  </w:style>
  <w:style w:type="paragraph" w:customStyle="1" w:styleId="5986D87C30A04C69B05DCB1C4F82DA6F">
    <w:name w:val="5986D87C30A04C69B05DCB1C4F82DA6F"/>
  </w:style>
  <w:style w:type="paragraph" w:customStyle="1" w:styleId="A145000AA1374272AA2ED9606722DE41">
    <w:name w:val="A145000AA1374272AA2ED9606722DE41"/>
  </w:style>
  <w:style w:type="paragraph" w:customStyle="1" w:styleId="4A4A0D02330943FA8D57B3D3341D2AD4">
    <w:name w:val="4A4A0D02330943FA8D57B3D3341D2AD4"/>
  </w:style>
  <w:style w:type="paragraph" w:customStyle="1" w:styleId="E73B5294832B4AB78C50FB92A6574D79">
    <w:name w:val="E73B5294832B4AB78C50FB92A6574D7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14:ligatures w14:val="standardContextual"/>
    </w:rPr>
  </w:style>
  <w:style w:type="paragraph" w:customStyle="1" w:styleId="3789AF18748B4AC4A569682CE6BFC80F">
    <w:name w:val="3789AF18748B4AC4A569682CE6BFC80F"/>
  </w:style>
  <w:style w:type="paragraph" w:customStyle="1" w:styleId="0126A00E7E3949D18910124D6F50D919">
    <w:name w:val="0126A00E7E3949D18910124D6F50D919"/>
  </w:style>
  <w:style w:type="paragraph" w:customStyle="1" w:styleId="2D702EC98D6542F78D2EFADF05F3EEBC">
    <w:name w:val="2D702EC98D6542F78D2EFADF05F3EEBC"/>
  </w:style>
  <w:style w:type="paragraph" w:customStyle="1" w:styleId="BDF4635B6E464FA8823FB85A2267A83A">
    <w:name w:val="BDF4635B6E464FA8823FB85A2267A83A"/>
  </w:style>
  <w:style w:type="paragraph" w:customStyle="1" w:styleId="2786667C7B1B4333B7F6513BFFBB4F51">
    <w:name w:val="2786667C7B1B4333B7F6513BFFBB4F51"/>
  </w:style>
  <w:style w:type="paragraph" w:customStyle="1" w:styleId="4A94AA82987545BF825A31128F025099">
    <w:name w:val="4A94AA82987545BF825A31128F025099"/>
  </w:style>
  <w:style w:type="paragraph" w:customStyle="1" w:styleId="8FB8EB7851DA41D181C13BFDD872711C">
    <w:name w:val="8FB8EB7851DA41D181C13BFDD872711C"/>
  </w:style>
  <w:style w:type="paragraph" w:customStyle="1" w:styleId="75F853FA94E1460C9CFAC4925F735225">
    <w:name w:val="75F853FA94E1460C9CFAC4925F735225"/>
  </w:style>
  <w:style w:type="paragraph" w:customStyle="1" w:styleId="04FCCA1C6B184947BEE4140D87773293">
    <w:name w:val="04FCCA1C6B184947BEE4140D87773293"/>
  </w:style>
  <w:style w:type="paragraph" w:customStyle="1" w:styleId="99D52FF12A514BEB819F564289133B78">
    <w:name w:val="99D52FF12A514BEB819F564289133B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015F25-DBD1-4DBC-9966-68C0E3C5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Business_report_Median_theme</Template>
  <TotalTime>0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Report</vt:lpstr>
    </vt:vector>
  </TitlesOfParts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Report</dc:title>
  <dc:subject>Big Mountain Resort</dc:subject>
  <dc:creator/>
  <cp:lastModifiedBy/>
  <cp:revision>1</cp:revision>
  <dcterms:created xsi:type="dcterms:W3CDTF">2020-08-07T00:38:00Z</dcterms:created>
  <dcterms:modified xsi:type="dcterms:W3CDTF">2020-08-07T04:04:00Z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