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ethods"/>
      <w:bookmarkEnd w:id="23"/>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switftly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8" w:name="fitness-increases-do-not-support-cooperation"/>
      <w:bookmarkEnd w:id="28"/>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3).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9" w:name="positive-niche-construction-is-not-sufficient"/>
      <w:bookmarkEnd w:id="29"/>
      <w:r>
        <w:t xml:space="preserve">Positive Niche Construction is not Sufficient</w:t>
      </w:r>
    </w:p>
    <w:p>
      <w:r>
        <w:t xml:space="preserve">Both positive and negative niche construction are present in our model. We focus first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When this conflict is removed, we see find that positive niche construction prolongs the fitness advantage of cooperators (Figure 3C), which significantly increases cooperator presence (Figure 2, column D). However, cooperation is eventually lost as gain an advantage (Figure 1D).</w:t>
      </w:r>
    </w:p>
    <w:p>
      <w:r>
        <w:t xml:space="preserve">—— LEFT OFF HERE</w:t>
      </w:r>
    </w:p>
    <w:p>
      <w:r>
        <w:t xml:space="preserve">WHERE SHOULD THIS GO??? 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When this allelic conflict is removed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positive niche construction prolongs the fitness advantage of cooperators (Figure 3C), which significantly increases cooperator presence (Figure 2, column D). However, cooperation is eventually lost as gain an advantage (Figure 1D).</w:t>
      </w:r>
    </w:p>
    <w:p>
      <w:pPr>
        <w:pStyle w:val="Heading2"/>
      </w:pPr>
      <w:bookmarkStart w:id="30" w:name="negative-niche-construction-is-not-sufficient"/>
      <w:bookmarkEnd w:id="30"/>
      <w:r>
        <w:t xml:space="preserve">Negative Niche Construction is not Sufficient</w:t>
      </w:r>
    </w:p>
    <w:p>
      <w:r>
        <w:t xml:space="preserve">TODO</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31" w:name="negative-niche-construction-plays-a-key-role-todo-title"/>
      <w:bookmarkEnd w:id="31"/>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w:t>
      </w:r>
    </w:p>
    <w:p>
      <w:r>
        <w:t xml:space="preserve">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2" w:name="nc-enables-cooperator-spread"/>
      <w:bookmarkEnd w:id="32"/>
      <w:r>
        <w:t xml:space="preserve">NC Enables Cooperator Spread</w:t>
      </w:r>
    </w:p>
    <w:p>
      <w:r>
        <w:t xml:space="preserve">Figure 4</w:t>
      </w:r>
    </w:p>
    <w:p>
      <w:pPr>
        <w:pStyle w:val="Heading2"/>
      </w:pPr>
      <w:bookmarkStart w:id="33" w:name="nc-prevents-defector-invasion"/>
      <w:bookmarkEnd w:id="33"/>
      <w:r>
        <w:t xml:space="preserve">NC Prevents Defector Invasion</w:t>
      </w:r>
    </w:p>
    <w:p>
      <w:r>
        <w:t xml:space="preserve">Figure 5</w:t>
      </w:r>
    </w:p>
    <w:p>
      <w:pPr>
        <w:pStyle w:val="Heading2"/>
      </w:pPr>
      <w:bookmarkStart w:id="34" w:name="how-public-good-fuels-all-of-this"/>
      <w:bookmarkEnd w:id="34"/>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2"/>
          <w:ilvl w:val="1"/>
        </w:numPr>
      </w:pPr>
      <w:r>
        <w:t xml:space="preserve">niche construction helps. but how?</w:t>
      </w:r>
    </w:p>
    <w:p>
      <w:pPr>
        <w:pStyle w:val="Compact"/>
        <w:numPr>
          <w:numId w:val="1002"/>
          <w:ilvl w:val="1"/>
        </w:numPr>
      </w:pPr>
      <w:r>
        <w:t xml:space="preserve">the extra fitness that it provides does not account for it</w:t>
      </w:r>
    </w:p>
    <w:p>
      <w:pPr>
        <w:pStyle w:val="Compact"/>
        <w:numPr>
          <w:numId w:val="1003"/>
          <w:ilvl w:val="2"/>
        </w:numPr>
      </w:pPr>
      <w:r>
        <w:t xml:space="preserve">in fact, cooperators never get to max fitness!</w:t>
      </w:r>
    </w:p>
    <w:p>
      <w:pPr>
        <w:pStyle w:val="Compact"/>
        <w:numPr>
          <w:numId w:val="1002"/>
          <w:ilvl w:val="1"/>
        </w:numPr>
      </w:pPr>
      <w:r>
        <w:t xml:space="preserve">negative niche construction plays a role</w:t>
      </w:r>
    </w:p>
    <w:p>
      <w:pPr>
        <w:pStyle w:val="Compact"/>
        <w:numPr>
          <w:numId w:val="1002"/>
          <w:ilvl w:val="1"/>
        </w:numPr>
      </w:pPr>
      <w:r>
        <w:t xml:space="preserve">negative niche construction alone does not help</w:t>
      </w:r>
    </w:p>
    <w:p>
      <w:pPr>
        <w:pStyle w:val="Compact"/>
        <w:numPr>
          <w:numId w:val="1001"/>
          <w:ilvl w:val="0"/>
        </w:numPr>
      </w:pPr>
      <w:r>
        <w:t xml:space="preserve">similarities/differences from previous work</w:t>
      </w:r>
    </w:p>
    <w:p>
      <w:pPr>
        <w:pStyle w:val="Compact"/>
        <w:numPr>
          <w:numId w:val="1004"/>
          <w:ilvl w:val="1"/>
        </w:numPr>
      </w:pPr>
      <w:r>
        <w:t xml:space="preserve">Schwilk and Kerr (2002)</w:t>
      </w:r>
    </w:p>
    <w:p>
      <w:pPr>
        <w:pStyle w:val="Compact"/>
        <w:numPr>
          <w:numId w:val="1004"/>
          <w:ilvl w:val="1"/>
        </w:numPr>
      </w:pPr>
      <w:r>
        <w:t xml:space="preserve">10.1073/pnas.0812644106</w:t>
      </w:r>
    </w:p>
    <w:p>
      <w:pPr>
        <w:pStyle w:val="Compact"/>
        <w:numPr>
          <w:numId w:val="1001"/>
          <w:ilvl w:val="0"/>
        </w:numPr>
      </w:pPr>
      <w:r>
        <w:t xml:space="preserve">negative/positive NC</w:t>
      </w:r>
    </w:p>
    <w:p>
      <w:pPr>
        <w:pStyle w:val="Compact"/>
        <w:numPr>
          <w:numId w:val="1005"/>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6"/>
          <w:ilvl w:val="1"/>
        </w:numPr>
      </w:pPr>
      <w:r>
        <w:t xml:space="preserve">Rodrigues (2012)</w:t>
      </w:r>
    </w:p>
    <w:p>
      <w:pPr>
        <w:pStyle w:val="Compact"/>
        <w:numPr>
          <w:numId w:val="1006"/>
          <w:ilvl w:val="1"/>
        </w:numPr>
      </w:pPr>
      <w:r>
        <w:t xml:space="preserve">Dumas and Kümmerli (2010)</w:t>
      </w:r>
    </w:p>
    <w:p>
      <w:pPr>
        <w:pStyle w:val="Compact"/>
        <w:numPr>
          <w:numId w:val="1006"/>
          <w:ilvl w:val="1"/>
        </w:numPr>
      </w:pPr>
      <w:r>
        <w:t xml:space="preserve">Kümmerli and Brown (2010)</w:t>
      </w:r>
    </w:p>
    <w:p>
      <w:pPr>
        <w:pStyle w:val="Compact"/>
        <w:numPr>
          <w:numId w:val="1006"/>
          <w:ilvl w:val="1"/>
        </w:numPr>
      </w:pPr>
      <w:r>
        <w:t xml:space="preserve">Darch/Diggle</w:t>
      </w:r>
    </w:p>
    <w:p>
      <w:pPr>
        <w:pStyle w:val="Compact"/>
        <w:numPr>
          <w:numId w:val="1006"/>
          <w:ilvl w:val="1"/>
        </w:numPr>
      </w:pPr>
      <w:r>
        <w:t xml:space="preserve">QS?</w:t>
      </w:r>
    </w:p>
    <w:p>
      <w:pPr>
        <w:pStyle w:val="Compact"/>
        <w:numPr>
          <w:numId w:val="1006"/>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5" w:name="public-goods"/>
      <w:bookmarkEnd w:id="35"/>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6">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7" w:name="primacyrecency"/>
      <w:bookmarkEnd w:id="37"/>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8" w:name="cooperative-niche-construction"/>
      <w:bookmarkEnd w:id="38"/>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9" w:name="host-symbiont"/>
      <w:bookmarkEnd w:id="39"/>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40" w:name="acknowledgments"/>
      <w:bookmarkEnd w:id="40"/>
      <w:r>
        <w:t xml:space="preserve">Acknowledgments</w:t>
      </w:r>
    </w:p>
    <w:p>
      <w:pPr>
        <w:pStyle w:val="Compact"/>
        <w:numPr>
          <w:numId w:val="1007"/>
          <w:ilvl w:val="0"/>
        </w:numPr>
      </w:pPr>
      <w:r>
        <w:t xml:space="preserve">TODO: Organizers?</w:t>
      </w:r>
    </w:p>
    <w:p>
      <w:pPr>
        <w:pStyle w:val="Compact"/>
        <w:numPr>
          <w:numId w:val="1007"/>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1" w:name="figures"/>
      <w:bookmarkEnd w:id="41"/>
      <w:r>
        <w:t xml:space="preserve">Figures</w:t>
      </w:r>
    </w:p>
    <w:p>
      <w:pPr>
        <w:pStyle w:val="Heading2"/>
      </w:pPr>
      <w:bookmarkStart w:id="42" w:name="figure-1"/>
      <w:bookmarkEnd w:id="42"/>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3"/>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t xml:space="preserve">Proportion of cooperators over time TODO</w:t>
      </w:r>
    </w:p>
    <w:p/>
    <w:p>
      <w:pPr>
        <w:pStyle w:val="Heading2"/>
      </w:pPr>
      <w:bookmarkStart w:id="44" w:name="figure-2"/>
      <w:bookmarkEnd w:id="44"/>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5"/>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6" w:name="figure-3"/>
      <w:bookmarkEnd w:id="46"/>
      <w:r>
        <w:t xml:space="preserve">Figure 3</w:t>
      </w:r>
    </w:p>
    <w:p>
      <w:r>
        <w:t xml:space="preserve">Mean fitness over time for the treatments shown in Figure 2</w:t>
      </w:r>
    </w:p>
    <w:p>
      <w:pPr>
        <w:pStyle w:val="Heading3"/>
      </w:pPr>
      <w:bookmarkStart w:id="47" w:name="figure-3a---fitness-for-base-case-niche-construction"/>
      <w:bookmarkEnd w:id="47"/>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9" w:name="figure-3b---fitness-with-double-delta-no-epsilon"/>
      <w:bookmarkEnd w:id="49"/>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1" w:name="figure-3c---fitness-with-no-negative-niche-construction-l5-a5"/>
      <w:bookmarkEnd w:id="51"/>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3" w:name="figure-3d---fitness-with-extreme-negative-niche-construction-l1-a6"/>
      <w:bookmarkEnd w:id="53"/>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5" w:name="figure-4"/>
      <w:bookmarkEnd w:id="55"/>
      <w:r>
        <w:t xml:space="preserve">Figure 4</w:t>
      </w:r>
    </w:p>
    <w:p>
      <w:r>
        <w:t xml:space="preserve">Cooperators invade from single population</w:t>
      </w:r>
    </w:p>
    <w:p>
      <w:pPr>
        <w:pStyle w:val="Heading2"/>
      </w:pPr>
      <w:bookmarkStart w:id="56" w:name="figure-5"/>
      <w:bookmarkEnd w:id="56"/>
      <w:r>
        <w:t xml:space="preserve">Figure 5</w:t>
      </w:r>
    </w:p>
    <w:p>
      <w:r>
        <w:t xml:space="preserve">Defectors are kept at bay</w:t>
      </w:r>
    </w:p>
    <w:p>
      <w:pPr>
        <w:pStyle w:val="Heading2"/>
      </w:pPr>
      <w:bookmarkStart w:id="57" w:name="figure-6"/>
      <w:bookmarkEnd w:id="57"/>
      <w:r>
        <w:t xml:space="preserve">Figure 6</w:t>
      </w:r>
    </w:p>
    <w:p>
      <w:pPr>
        <w:pStyle w:val="Heading3"/>
      </w:pPr>
      <w:bookmarkStart w:id="58" w:name="figure-6a---effect-of-public-good-benefit-smax-smin"/>
      <w:bookmarkEnd w:id="58"/>
      <w:r>
        <w:t xml:space="preserve">Figure 6A - Effect of Public Good Benefit (Smax-Smin)</w:t>
      </w:r>
    </w:p>
    <w:p>
      <w:pPr>
        <w:pStyle w:val="Heading3"/>
      </w:pPr>
      <w:bookmarkStart w:id="59" w:name="figure-6b---effect-of-migration-rate-m"/>
      <w:bookmarkEnd w:id="59"/>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1" w:name="tables"/>
      <w:bookmarkEnd w:id="61"/>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2" w:name="references"/>
      <w:bookmarkEnd w:id="62"/>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3">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4">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af2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75f9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36" Target="Coopeative%20Niche%20Construction" TargetMode="External" /><Relationship Type="http://schemas.openxmlformats.org/officeDocument/2006/relationships/hyperlink" Id="rId63" Target="http://dx.doi.org/10.1038/ismej.2014.259" TargetMode="External" /><Relationship Type="http://schemas.openxmlformats.org/officeDocument/2006/relationships/hyperlink" Id="rId64"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6" Target="Coopeative%20Niche%20Construction" TargetMode="External" /><Relationship Type="http://schemas.openxmlformats.org/officeDocument/2006/relationships/hyperlink" Id="rId63" Target="http://dx.doi.org/10.1038/ismej.2014.259" TargetMode="External" /><Relationship Type="http://schemas.openxmlformats.org/officeDocument/2006/relationships/hyperlink" Id="rId64"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