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particularly those that arise from within via mutations that disable cooperation.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Here, we build upon the model presented in</w:t>
      </w:r>
      <w:r>
        <w:t xml:space="preserve"> </w:t>
      </w:r>
      <w:r>
        <w:t xml:space="preserve">Hankshaw and Kerr (2015)</w:t>
      </w:r>
      <w:r>
        <w:t xml:space="preserve"> </w:t>
      </w:r>
      <w:r>
        <w:t xml:space="preserve">to explore whether the selective feedbacks produced as populations modify their environment can act as an additional source of adaptive opportunities. As previously described, this model follows the evolution of cooperation in a metapopulation of populations connected by spatially-limited migration. Cooperators produce a public good that increases the local carrying capacity. Through mutation, individuals gain non-social adaptations that confer fitness benefits. These benefits are large enough so that an adapted cooperator is more fit than a less-adapted defector (note that for simplicity, we refer to all non-cooperators as</w:t>
      </w:r>
      <w:r>
        <w:t xml:space="preserve"> </w:t>
      </w:r>
      <w:r>
        <w:t xml:space="preserve">“</w:t>
      </w:r>
      <w:r>
        <w:t xml:space="preserve">defectors</w:t>
      </w:r>
      <w:r>
        <w:t xml:space="preserve">”</w:t>
      </w:r>
      <w:r>
        <w:t xml:space="preserve">, regardless of their origin). Because of their larger sizes, cooperator populations are more likely to acquire these adaptations. However, cooperator populations remain susceptible to invasion by adapted defectors either immigrate from a nearby populaion or arise via social mutation. In our expanded version of this model, populations alter their local environment based on the the presence of different non-social adaptations. Frequency-dependent selection on these adaptations creates an eco-evolutionary feedback that increasingly favors the adaptations present in each population. We focus on two aspects in which the production of public goods is affected by these selective feedbacks. First, the creation of unique niches may diminish the ability of both cooperators and defectors to invade neighboring patches due to maladaptation. However, because cooperator populations are larger, the greater number of emigrants that they produce will allow them to</w:t>
      </w:r>
      <w:r>
        <w:t xml:space="preserve"> </w:t>
      </w:r>
      <w:r>
        <w:t xml:space="preserve">“</w:t>
      </w:r>
      <w:r>
        <w:t xml:space="preserve">export</w:t>
      </w:r>
      <w:r>
        <w:t xml:space="preserve">”</w:t>
      </w:r>
      <w:r>
        <w:t xml:space="preserve"> </w:t>
      </w:r>
      <w:r>
        <w:t xml:space="preserve">their niche at a higher rate than defectors. As a result, cooperators may be able to expand more quickly. Second, larger cooperator populations will experience more mutations, which better enables these populations to adapt to changing environments. If niche construction produces continual change, can the resulting adaptive opportunities maintain cooperation?</w:t>
      </w:r>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1"/>
      </w:pPr>
      <w:bookmarkStart w:id="22" w:name="materials-and-methods"/>
      <w:bookmarkEnd w:id="22"/>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the presence of these individuals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At the first locus, a binary allele 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The remaining</w:t>
      </w:r>
      <w:r>
        <w:t xml:space="preserve"> </w:t>
      </w:r>
      <m:oMath>
        <m:r>
          <m:rPr>
            <m:sty m:val="p"/>
          </m:rPr>
          <m:t>L</m:t>
        </m:r>
      </m:oMath>
      <w:r>
        <w:t xml:space="preserve"> </w:t>
      </w:r>
      <w:r>
        <w:t xml:space="preserve">loci are</w:t>
      </w:r>
      <w:r>
        <w:t xml:space="preserve"> </w:t>
      </w:r>
      <w:r>
        <w:rPr>
          <w:i/>
        </w:rPr>
        <w:t xml:space="preserve">stress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These alleles represent adaptations to the environment, and the number of loci determines the number of adaptations that are possible. All non-zero alleles confer fitness benefit</w:t>
      </w:r>
      <w:r>
        <w:t xml:space="preserve"> </w:t>
      </w:r>
      <m:oMath>
        <m:r>
          <m:rPr>
            <m:sty m:val="p"/>
          </m:rPr>
          <m:t>δ</m:t>
        </m:r>
      </m:oMath>
      <w:r>
        <w:t xml:space="preserve">. When</w:t>
      </w:r>
      <w:r>
        <w:t xml:space="preserve"> </w:t>
      </w:r>
      <m:oMath>
        <m:r>
          <m:rPr>
            <m:sty m:val="p"/>
          </m:rPr>
          <m:t>δ</m:t>
        </m:r>
        <m:r>
          <m:rPr>
            <m:sty m:val="p"/>
          </m:rPr>
          <m:t>≥</m:t>
        </m:r>
        <m:r>
          <m:rPr>
            <m:sty m:val="p"/>
          </m:rPr>
          <m:t>c</m:t>
        </m:r>
      </m:oMath>
      <w:r>
        <w:t xml:space="preserve">, an adapted cooperator recoups the cost of cooperation.</w:t>
      </w:r>
    </w:p>
    <w:p>
      <w:r>
        <w:t xml:space="preserve">Organisms also influence their environment, which can feed back to influence selection. We model this as a form of frequency dependent selection. Specifically, the selective value of stress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proportion of the population that has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l</m:t>
        </m:r>
        <m:r>
          <m:rPr>
            <m:sty m:val="p"/>
          </m:rPr>
          <m:t>−</m:t>
        </m:r>
        <m:r>
          <m:rPr>
            <m:sty m:val="p"/>
          </m:rPr>
          <m:t>1</m:t>
        </m:r>
      </m:oMath>
      <w:r>
        <w:t xml:space="preserve"> </w:t>
      </w:r>
      <w:r>
        <w:t xml:space="preserve">(and the first stress locus is affected by the last). The slope of this increase is</w:t>
      </w:r>
      <w:r>
        <w:t xml:space="preserve"> </w:t>
      </w:r>
      <m:oMath>
        <m:r>
          <m:rPr>
            <m:sty m:val="p"/>
          </m:rPr>
          <m:t>ϵ</m:t>
        </m:r>
      </m:oMath>
      <w:r>
        <w:t xml:space="preserve">, which specifies the intensity of niche construction. As a consequence of this form of frequency dependence, genotypes with sequentially 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c</m:t>
          </m:r>
          <m:sSub>
            <m:e>
              <m:r>
                <m:rPr>
                  <m:sty m:val="p"/>
                </m:rPr>
                <m:t>a</m:t>
              </m:r>
            </m:e>
            <m:sub>
              <m:r>
                <m:rPr>
                  <m:sty m:val="p"/>
                </m:rPr>
                <m:t>g</m:t>
              </m:r>
              <m:r>
                <m:rPr>
                  <m:sty m:val="p"/>
                </m:rPr>
                <m:t>,</m:t>
              </m:r>
              <m:r>
                <m:rPr>
                  <m:sty m:val="p"/>
                </m:rPr>
                <m:t>1</m:t>
              </m:r>
            </m:sub>
          </m:sSub>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2</m:t>
              </m:r>
            </m:sub>
            <m:sup>
              <m:r>
                <m:rPr>
                  <m:sty m:val="p"/>
                </m:rPr>
                <m:t>L</m:t>
              </m:r>
              <m:r>
                <m:rPr>
                  <m:sty m:val="p"/>
                </m:rPr>
                <m:t>+</m:t>
              </m:r>
              <m:r>
                <m:rPr>
                  <m:sty m:val="p"/>
                </m:rPr>
                <m:t>1</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2</m:t>
              </m:r>
            </m:sub>
            <m:sup>
              <m:r>
                <m:rPr>
                  <m:sty m:val="p"/>
                </m:rPr>
                <m:t>L</m:t>
              </m:r>
              <m:r>
                <m:rPr>
                  <m:sty m:val="p"/>
                </m:rPr>
                <m:t>+</m:t>
              </m:r>
              <m:r>
                <m:rPr>
                  <m:sty m:val="p"/>
                </m:rPr>
                <m:t>1</m:t>
              </m:r>
            </m:sup>
          </m:nary>
          <m:r>
            <m:rPr>
              <m:sty m:val="p"/>
            </m:rPr>
            <m:t>(</m:t>
          </m:r>
          <m:sSub>
            <m:e>
              <m:r>
                <m:rPr>
                  <m:sty m:val="p"/>
                </m:rPr>
                <m:t>a</m:t>
              </m:r>
            </m:e>
            <m:sub>
              <m:r>
                <m:rPr>
                  <m:sty m:val="p"/>
                </m:rPr>
                <m:t>g</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where</w:t>
      </w:r>
      <w:r>
        <w:t xml:space="preserve"> </w:t>
      </w:r>
      <m:oMath>
        <m:r>
          <m:rPr>
            <m:sty m:val="p"/>
          </m:rPr>
          <m:t>z</m:t>
        </m:r>
      </m:oMath>
      <w:r>
        <w:t xml:space="preserve"> </w:t>
      </w:r>
      <w:r>
        <w:t xml:space="preserve">is a baseline fitness,</w:t>
      </w:r>
      <w:r>
        <w:t xml:space="preserve"> </w:t>
      </w:r>
      <m:oMath>
        <m:r>
          <m:rPr>
            <m:sty m:val="p"/>
          </m:rPr>
          <m:t>c</m:t>
        </m:r>
      </m:oMath>
      <w:r>
        <w:t xml:space="preserve"> </w:t>
      </w:r>
      <w:r>
        <w:t xml:space="preserve">is the cost of the cooperative allele,</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L</m:t>
        </m:r>
      </m:oMath>
      <w:r>
        <w:t xml:space="preserve"> </w:t>
      </w:r>
      <w:r>
        <w:t xml:space="preserve">is the number of stress loci, and</w:t>
      </w:r>
      <w:r>
        <w:t xml:space="preserve"> </w:t>
      </w:r>
      <m:oMath>
        <m:r>
          <m:rPr>
            <m:sty m:val="p"/>
          </m:rPr>
          <m:t>γ</m:t>
        </m:r>
        <m:r>
          <m:rPr>
            <m:sty m:val="p"/>
          </m:rPr>
          <m:t>(</m:t>
        </m:r>
        <m:r>
          <m:rPr>
            <m:sty m:val="p"/>
          </m:rPr>
          <m:t>j</m:t>
        </m:r>
        <m:r>
          <m:rPr>
            <m:sty m:val="p"/>
          </m:rPr>
          <m:t>)</m:t>
        </m:r>
      </m:oMath>
      <w:r>
        <w:t xml:space="preserve"> </w:t>
      </w:r>
      <w:r>
        <w:t xml:space="preserve">is the genotype of individual</w:t>
      </w:r>
      <w:r>
        <w:t xml:space="preserve"> </w:t>
      </w:r>
      <m:oMath>
        <m:r>
          <m:rPr>
            <m:sty m:val="p"/>
          </m:rPr>
          <m:t>j</m:t>
        </m:r>
      </m:oMath>
      <w:r>
        <w:t xml:space="preserve">.</w:t>
      </w:r>
      <w:r>
        <w:t xml:space="preserve"> </w:t>
      </w:r>
      <m:oMath>
        <m:sSub>
          <m:e>
            <m:r>
              <m:rPr>
                <m:sty m:val="p"/>
              </m:rPr>
              <m:t>I</m:t>
            </m:r>
          </m:e>
          <m:sub>
            <m:r>
              <m:rPr>
                <m:sty m:val="p"/>
              </m:rPr>
              <m:t>A</m:t>
            </m:r>
          </m:sub>
        </m:sSub>
      </m:oMath>
      <w:r>
        <w:t xml:space="preserve"> </w:t>
      </w:r>
      <w:r>
        <w:t xml:space="preserve">indicates whether allelic state</w:t>
      </w:r>
      <w:r>
        <w:t xml:space="preserve"> </w:t>
      </w:r>
      <m:oMath>
        <m:r>
          <m:rPr>
            <m:sty m:val="p"/>
          </m:rPr>
          <m:t>y</m:t>
        </m:r>
      </m:oMath>
      <w:r>
        <w:t xml:space="preserve"> </w:t>
      </w:r>
      <w:r>
        <w:t xml:space="preserve">is in</w:t>
      </w:r>
      <w:r>
        <w:t xml:space="preserve"> </w:t>
      </w:r>
      <m:oMath>
        <m:r>
          <m:rPr>
            <m:sty m:val="p"/>
          </m:rPr>
          <m:t>A</m:t>
        </m:r>
      </m:oMath>
      <w:r>
        <w:t xml:space="preserve"> </w:t>
      </w:r>
      <w:r>
        <w:t xml:space="preserve">(i.e., it is non-zero). The function</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gives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\sum_{h=1}^{N} I_{a_{g,l}} (1 + a_{h,l-1} (\bmod a_{max})) \qquad (2)$$</w:t>
      </w:r>
    </w:p>
    <w:p>
      <w:r>
        <w:t xml:space="preserve">Here,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3</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P</m:t>
                  </m:r>
                </m:sub>
                <m:sup/>
              </m:nary>
            </m:den>
          </m:f>
          <m:r>
            <m:rPr>
              <m:sty m:val="p"/>
            </m:rPr>
            <m:t>  </m:t>
          </m:r>
          <m:r>
            <m:rPr>
              <m:sty m:val="p"/>
            </m:rPr>
            <m:t>(</m:t>
          </m:r>
          <m:r>
            <m:rPr>
              <m:sty m:val="p"/>
            </m:rPr>
            <m:t>4</m:t>
          </m:r>
          <m:r>
            <m:rPr>
              <m:sty m:val="p"/>
            </m:rPr>
            <m:t>)</m:t>
          </m:r>
        </m:oMath>
      </m:oMathPara>
    </w:p>
    <w:p>
      <w:r>
        <w:t xml:space="preserve">Here,</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 and</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its fitness (see Equation 1).</w:t>
      </w:r>
      <w:r>
        <w:t xml:space="preserve"> </w:t>
      </w:r>
      <m:oMath>
        <m:sSub>
          <m:e>
            <m:r>
              <m:rPr>
                <m:sty m:val="p"/>
              </m:rPr>
              <m:t>π</m:t>
            </m:r>
          </m:e>
          <m:sub>
            <m:r>
              <m:rPr>
                <m:sty m:val="p"/>
              </m:rPr>
              <m:t>i</m:t>
            </m:r>
          </m:sub>
        </m:sSub>
      </m:oMath>
      <w:r>
        <w:t xml:space="preserve"> </w:t>
      </w:r>
      <w:r>
        <w:t xml:space="preserve">is proportional to</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(and</w:t>
      </w:r>
      <w:r>
        <w:t xml:space="preserve"> </w:t>
      </w:r>
      <m:oMath>
        <m:nary>
          <m:naryPr>
            <m:chr m:val="∑"/>
            <m:limLoc m:val="undOvr"/>
            <m:supHide m:val="on"/>
            <m:supHide m:val="on"/>
          </m:naryPr>
          <m:e>
            <m:sSub>
              <m:e>
                <m:r>
                  <m:rPr>
                    <m:sty m:val="p"/>
                  </m:rPr>
                  <m:t>π</m:t>
                </m:r>
              </m:e>
              <m:sub>
                <m:r>
                  <m:rPr>
                    <m:sty m:val="p"/>
                  </m:rPr>
                  <m:t>i</m:t>
                </m:r>
              </m:sub>
            </m:sSub>
          </m:e>
          <m:sub/>
          <m:sup>
            <m:r>
              <m:rPr>
                <m:sty m:val="p"/>
              </m:rPr>
              <m:t>i</m:t>
            </m:r>
            <m:r>
              <m:rPr>
                <m:sty m:val="p"/>
              </m:rPr>
              <m:t>∈</m:t>
            </m:r>
            <m:r>
              <m:rPr>
                <m:sty m:val="p"/>
              </m:rPr>
              <m:t>P</m:t>
            </m:r>
          </m:sup>
        </m:nary>
        <m:r>
          <m:rPr>
            <m:sty m:val="p"/>
          </m:rPr>
          <m:t>=</m:t>
        </m:r>
        <m:r>
          <m:rPr>
            <m:sty m:val="p"/>
          </m:rPr>
          <m:t>1</m:t>
        </m:r>
      </m:oMath>
      <w:r>
        <w:t xml:space="preserve">).</w:t>
      </w:r>
    </w:p>
    <w:p>
      <w:r>
        <w:t xml:space="preserve">For simplicity, we apply mutations after population growth. Mutations occur independently at each locus and cause the allelic state to change.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Mutations occur at each stress locus at rate</w:t>
      </w:r>
      <w:r>
        <w:t xml:space="preserve"> </w:t>
      </w:r>
      <m:oMath>
        <m:sSub>
          <m:e>
            <m:r>
              <m:rPr>
                <m:sty m:val="p"/>
              </m:rPr>
              <m:t>μ</m:t>
            </m:r>
          </m:e>
          <m:sub>
            <m:r>
              <m:rPr>
                <m:sty m:val="p"/>
              </m:rPr>
              <m:t>s</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s</m:t>
              </m:r>
            </m:sub>
            <m:sup>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s</m:t>
              </m:r>
            </m:sub>
          </m:sSub>
          <m:sSup>
            <m:e>
              <m:r>
                <m:rPr>
                  <m:sty m:val="p"/>
                </m:rPr>
                <m:t>)</m:t>
              </m:r>
            </m:e>
            <m:sup>
              <m:r>
                <m:rPr>
                  <m:sty m:val="p"/>
                </m:rPr>
                <m:t>{</m:t>
              </m:r>
              <m:r>
                <m:rPr>
                  <m:sty m:val="p"/>
                </m:rPr>
                <m:t>L</m:t>
              </m:r>
              <m:r>
                <m:rPr>
                  <m:sty m:val="p"/>
                </m:rPr>
                <m:t>−</m:t>
              </m:r>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5</m:t>
          </m:r>
          <m:r>
            <m:rPr>
              <m:sty m:val="p"/>
            </m:rPr>
            <m:t>)</m:t>
          </m:r>
        </m:oMath>
      </m:oMathPara>
    </w:p>
    <w:p>
      <w:r>
        <w:t xml:space="preserve">where</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stress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the onset of an environmental stress.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Stress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stress, the allelic state of each individual’s genotype is set to</w:t>
      </w:r>
      <w:r>
        <w:t xml:space="preserve"> </w:t>
      </w:r>
      <m:oMath>
        <m:r>
          <m:rPr>
            <m:sty m:val="p"/>
          </m:rPr>
          <m:t>0</m:t>
        </m:r>
      </m:oMath>
      <w:r>
        <w:t xml:space="preserve"> </w:t>
      </w:r>
      <w:r>
        <w:t xml:space="preserve">at each stress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2</m:t>
        </m:r>
        <m:r>
          <m:rPr>
            <m:sty m:val="p"/>
          </m:rPr>
          <m:t>,</m:t>
        </m:r>
        <m:r>
          <m:rPr>
            <m:sty m:val="p"/>
          </m:rPr>
          <m:t>…</m:t>
        </m:r>
        <m:r>
          <m:rPr>
            <m:sty m:val="p"/>
          </m:rPr>
          <m:t>,</m:t>
        </m:r>
        <m:r>
          <m:rPr>
            <m:sty m:val="p"/>
          </m:rPr>
          <m:t>L</m:t>
        </m:r>
        <m:r>
          <m:rPr>
            <m:sty m:val="p"/>
          </m:rPr>
          <m:t>+</m:t>
        </m:r>
        <m:r>
          <m:rPr>
            <m:sty m:val="p"/>
          </m:rPr>
          <m:t>1</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r>
        <w:t xml:space="preserve">results…</w:t>
      </w:r>
    </w:p>
    <w:p>
      <w:pPr>
        <w:pStyle w:val="Heading1"/>
      </w:pPr>
      <w:bookmarkStart w:id="26" w:name="discussion"/>
      <w:bookmarkEnd w:id="26"/>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1"/>
          <w:ilvl w:val="0"/>
        </w:numPr>
      </w:pPr>
      <w:r>
        <w:t xml:space="preserve">future primacy/recency</w:t>
      </w:r>
    </w:p>
    <w:p>
      <w:pPr>
        <w:pStyle w:val="Compact"/>
        <w:numPr>
          <w:numId w:val="1003"/>
          <w:ilvl w:val="1"/>
        </w:numPr>
      </w:pPr>
      <w:r>
        <w:t xml:space="preserve">Laland et al. (1996)</w:t>
      </w:r>
    </w:p>
    <w:p>
      <w:pPr>
        <w:pStyle w:val="Compact"/>
        <w:numPr>
          <w:numId w:val="1003"/>
          <w:ilvl w:val="1"/>
        </w:numPr>
      </w:pPr>
      <w:r>
        <w:t xml:space="preserve">Lehmann (2007)</w:t>
      </w:r>
    </w:p>
    <w:p>
      <w:pPr>
        <w:pStyle w:val="Compact"/>
        <w:numPr>
          <w:numId w:val="1001"/>
          <w:ilvl w:val="0"/>
        </w:numPr>
      </w:pPr>
      <w:r>
        <w:t xml:space="preserve">public goods as niche construction</w:t>
      </w:r>
    </w:p>
    <w:p>
      <w:pPr>
        <w:pStyle w:val="Compact"/>
        <w:numPr>
          <w:numId w:val="1001"/>
          <w:ilvl w:val="0"/>
        </w:numPr>
      </w:pPr>
      <w:r>
        <w:t xml:space="preserve">Host symbiont - many instances of cooperation occur among pathogens.</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w:t>
      </w:r>
    </w:p>
    <w:p>
      <w:r>
        <w:t xml:space="preserve">Niche construction and selective feedbacks</w:t>
      </w:r>
    </w:p>
    <w:p>
      <w:r>
        <w:t xml:space="preserve">Niche construction and other social interactions # Acknowledgments</w:t>
      </w:r>
    </w:p>
    <w:p>
      <w:pPr>
        <w:pStyle w:val="Compact"/>
        <w:numPr>
          <w:numId w:val="1005"/>
          <w:ilvl w:val="0"/>
        </w:numPr>
      </w:pPr>
      <w:r>
        <w:t xml:space="preserve">PRFB</w:t>
      </w:r>
    </w:p>
    <w:p>
      <w:pPr>
        <w:pStyle w:val="Compact"/>
        <w:numPr>
          <w:numId w:val="1005"/>
          <w:ilvl w:val="0"/>
        </w:numPr>
      </w:pPr>
      <w:r>
        <w:t xml:space="preserve">BEACON</w:t>
      </w:r>
    </w:p>
    <w:p>
      <w:pPr>
        <w:pStyle w:val="Compact"/>
        <w:numPr>
          <w:numId w:val="1005"/>
          <w:ilvl w:val="0"/>
        </w:numPr>
      </w:pPr>
      <w:r>
        <w:t xml:space="preserve">Google</w:t>
      </w:r>
    </w:p>
    <w:p>
      <w:pPr>
        <w:pStyle w:val="Compact"/>
        <w:numPr>
          <w:numId w:val="1005"/>
          <w:ilvl w:val="0"/>
        </w:numPr>
      </w:pPr>
      <w:r>
        <w:t xml:space="preserve">Organizers?</w:t>
      </w:r>
      <w:r>
        <w:t xml:space="preserve"> </w:t>
      </w:r>
    </w:p>
    <w:p>
      <w:pPr>
        <w:pStyle w:val="Heading1"/>
      </w:pPr>
      <w:bookmarkStart w:id="27" w:name="figures"/>
      <w:bookmarkEnd w:id="27"/>
      <w:r>
        <w:t xml:space="preserve">Figures</w:t>
      </w:r>
    </w:p>
    <w:p/>
    <w:p>
      <w:pPr>
        <w:pStyle w:val="Heading1"/>
      </w:pPr>
      <w:bookmarkStart w:id="28" w:name="tables"/>
      <w:bookmarkEnd w:id="28"/>
      <w:r>
        <w:t xml:space="preserve">Tables</w:t>
      </w:r>
    </w:p>
    <w:p>
      <w:pPr>
        <w:pStyle w:val="TableCaption"/>
      </w:pPr>
      <w:r>
        <w:t xml:space="preserve">Model parameters and their value</w:t>
      </w:r>
      <w:r>
        <w:t xml:space="preserve"> </w:t>
      </w:r>
    </w:p>
    <w:tbl>
      <w:tblPr>
        <w:tblStyle w:val="TableNormal"/>
        <w:tblW w:type="pct" w:w="0.0"/>
        <w:tblCaption w:val="Model parameters and their value "/>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r>
                <m:rPr>
                  <m:sty m:val="p"/>
                </m:rPr>
                <m:t>L</m:t>
              </m:r>
            </m:oMath>
          </w:p>
        </w:tc>
        <w:tc>
          <w:p>
            <w:pPr>
              <w:pStyle w:val="Compact"/>
              <w:jc w:val="left"/>
            </w:pPr>
            <w:r>
              <w:t xml:space="preserve">Number of Stress Loci</w:t>
            </w:r>
          </w:p>
        </w:tc>
        <w:tc>
          <w:p>
            <w:pPr>
              <w:pStyle w:val="Compact"/>
              <w:jc w:val="right"/>
            </w:pPr>
            <w:r>
              <w:t xml:space="preserve">5</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TODO</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s</m:t>
                  </m:r>
                </m:sub>
              </m:sSub>
            </m:oMath>
          </w:p>
        </w:tc>
        <w:tc>
          <w:p>
            <w:pPr>
              <w:pStyle w:val="Compact"/>
              <w:jc w:val="left"/>
            </w:pPr>
            <w:r>
              <w:t xml:space="preserve">Mutation Rate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29" w:name="references"/>
      <w:bookmarkEnd w:id="29"/>
      <w:r>
        <w:t xml:space="preserve">References</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30">
        <w:r>
          <w:rPr>
            <w:rStyle w:val="Link"/>
          </w:rPr>
          <w:t xml:space="preserve">10.1038/ismej.2014.259</w:t>
        </w:r>
      </w:hyperlink>
      <w:r>
        <w:t xml:space="preserv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170e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d3aba0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dx.doi.org/10.1038/ismej.2014.259" TargetMode="External" /></Relationships>
</file>

<file path=word/_rels/footnotes.xml.rels><?xml version="1.0" encoding="UTF-8"?>
<Relationships xmlns="http://schemas.openxmlformats.org/package/2006/relationships"><Relationship Type="http://schemas.openxmlformats.org/officeDocument/2006/relationships/hyperlink" Id="rId30" Target="http://dx.doi.org/10.1038/ismej.2014.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