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37" w:name="figure-2"/>
      <w:bookmarkEnd w:id="37"/>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39" w:name="figure-3"/>
      <w:bookmarkEnd w:id="39"/>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f4ef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