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w:t>
      </w:r>
    </w:p>
    <w:p>
      <w:pPr>
        <w:pStyle w:val="Heading3"/>
      </w:pPr>
      <w:bookmarkStart w:id="24" w:name="individuals-and-genotypes"/>
      <w:bookmarkEnd w:id="24"/>
      <w:r>
        <w:t xml:space="preserve">Individuals and Genotypes</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A binary allele at the last locus (</w:t>
      </w:r>
      <m:oMath>
        <m:r>
          <m:rPr>
            <m:sty m:val="p"/>
          </m:rPr>
          <m:t>L</m:t>
        </m:r>
        <m:r>
          <m:rPr>
            <m:sty m:val="p"/>
          </m:rPr>
          <m:t>+</m:t>
        </m:r>
        <m:r>
          <m:rPr>
            <m:sty m:val="p"/>
          </m:rPr>
          <m:t>1</m:t>
        </m:r>
      </m:oMath>
      <w:r>
        <w:t xml:space="preserve">) determines whether that individual is a cooperator (</w:t>
      </w:r>
      <m:oMath>
        <m:r>
          <m:rPr>
            <m:sty m:val="p"/>
          </m:rPr>
          <m:t>1</m:t>
        </m:r>
      </m:oMath>
      <w:r>
        <w:t xml:space="preserve">) or a defector (</w:t>
      </w:r>
      <m:oMath>
        <m:r>
          <m:rPr>
            <m:sty m:val="p"/>
          </m:rPr>
          <m:t>0</m:t>
        </m:r>
      </m:oMath>
      <w:r>
        <w:t xml:space="preserve">). Cooperators incur a fitness cost</w:t>
      </w:r>
      <w:r>
        <w:t xml:space="preserve"> </w:t>
      </w:r>
      <m:oMath>
        <m:r>
          <m:rPr>
            <m:sty m:val="p"/>
          </m:rPr>
          <m:t>c</m:t>
        </m:r>
      </m:oMath>
      <w:r>
        <w:t xml:space="preserve">.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a fitness benefit</w:t>
      </w:r>
      <w:r>
        <w:t xml:space="preserve"> </w:t>
      </w:r>
      <m:oMath>
        <m:r>
          <m:rPr>
            <m:sty m:val="p"/>
          </m:rPr>
          <m:t>δ</m:t>
        </m:r>
      </m:oMath>
      <w:r>
        <w:t xml:space="preserve">. We choose</w:t>
      </w:r>
      <w:r>
        <w:t xml:space="preserve"> </w:t>
      </w:r>
      <m:oMath>
        <m:r>
          <m:rPr>
            <m:sty m:val="p"/>
          </m:rPr>
          <m:t>δ</m:t>
        </m:r>
        <m:r>
          <m:rPr>
            <m:sty m:val="p"/>
          </m:rPr>
          <m:t>&gt;</m:t>
        </m:r>
        <m:r>
          <m:rPr>
            <m:sty m:val="p"/>
          </m:rPr>
          <m:t>c</m:t>
        </m:r>
      </m:oMath>
      <w:r>
        <w:t xml:space="preserve">, which allows a minimally adapted cooperator to recoup the cost of cooperation. The fitness benefits of these adaptations are purely endogenous, and are not affected by other individuals or the environment.</w:t>
      </w:r>
    </w:p>
    <w:p>
      <w:pPr>
        <w:pStyle w:val="Heading3"/>
      </w:pPr>
      <w:bookmarkStart w:id="25" w:name="niche-construction"/>
      <w:bookmarkEnd w:id="25"/>
      <w:r>
        <w:t xml:space="preserve">Niche Construction</w:t>
      </w:r>
    </w:p>
    <w:p>
      <w:r>
        <w:t xml:space="preserve">Populations also influence their environment, which feeds back to affect selection. This process adds a second, exogenous component to each individual’s fitness. Here, the</w:t>
      </w:r>
      <w:r>
        <w:t xml:space="preserve"> </w:t>
      </w:r>
      <w:r>
        <w:t xml:space="preserve">“</w:t>
      </w:r>
      <w:r>
        <w:t xml:space="preserve">niche</w:t>
      </w:r>
      <w:r>
        <w:t xml:space="preserve">”</w:t>
      </w:r>
      <w:r>
        <w:t xml:space="preserve"> </w:t>
      </w:r>
      <w:r>
        <w:t xml:space="preserve">is defined implicitly by the allelic states present in the population. As allelic states change, a population constructs its unique niche. We use a form of density dependent selection to increasingly favors individuals that match their niche.</w:t>
      </w:r>
    </w:p>
    <w:p>
      <w:r>
        <w:t xml:space="preserve">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w:t>
      </w:r>
      <w:r>
        <w:t xml:space="preserve"> </w:t>
      </w:r>
      <m:oMath>
        <m:r>
          <m:rPr>
            <m:sty m:val="p"/>
          </m:rPr>
          <m:t>L</m:t>
        </m:r>
      </m:oMath>
      <w:r>
        <w:t xml:space="preserve"> </w:t>
      </w:r>
      <w:r>
        <w:t xml:space="preserve">is affected by the allelic composition of the population at locus 1, and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For the remainder of this section, this circularity is represented by the function below,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$\bmod_{Y}(y)$</w:t>
      </w:r>
      <w:r>
        <w:t xml:space="preserve"> </w:t>
      </w:r>
      <w:r>
        <w:t xml:space="preserve">is the integer remainder when dividing</w:t>
      </w:r>
      <w:r>
        <w:t xml:space="preserve"> </w:t>
      </w:r>
      <m:oMath>
        <m:r>
          <m:rPr>
            <m:sty m:val="p"/>
          </m:rPr>
          <m:t>y</m:t>
        </m:r>
      </m:oMath>
      <w:r>
        <w:t xml:space="preserve"> </w:t>
      </w:r>
      <w:r>
        <w:t xml:space="preserve">by</w:t>
      </w:r>
      <w:r>
        <w:t xml:space="preserve"> </w:t>
      </w:r>
      <m:oMath>
        <m:r>
          <m:rPr>
            <m:sty m:val="p"/>
          </m:rPr>
          <m:t>Y</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current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31" w:name="results"/>
      <w:bookmarkEnd w:id="31"/>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32" w:name="niche-construction-maintains-cooperation"/>
      <w:bookmarkEnd w:id="32"/>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33" w:name="fitness-increases-alone-do-not-support-persisting-cooperation"/>
      <w:bookmarkEnd w:id="33"/>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35" w:name="positive-niche-construction-is-important-to-cooperator-persistence"/>
      <w:bookmarkEnd w:id="35"/>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6" w:name="nc-enables-cooperator-spread"/>
      <w:bookmarkEnd w:id="36"/>
      <w:r>
        <w:t xml:space="preserve">NC Enables Cooperator Spread</w:t>
      </w:r>
    </w:p>
    <w:p>
      <w:r>
        <w:t xml:space="preserve">Figure 4 - if not, could be why thinning is a must.</w:t>
      </w:r>
    </w:p>
    <w:p>
      <w:pPr>
        <w:pStyle w:val="Heading2"/>
      </w:pPr>
      <w:bookmarkStart w:id="37" w:name="nc-prevents-defector-invasion"/>
      <w:bookmarkEnd w:id="37"/>
      <w:r>
        <w:t xml:space="preserve">NC Prevents Defector Invasion</w:t>
      </w:r>
    </w:p>
    <w:p>
      <w:r>
        <w:t xml:space="preserve">Figure 5</w:t>
      </w:r>
    </w:p>
    <w:p>
      <w:pPr>
        <w:pStyle w:val="Heading2"/>
      </w:pPr>
      <w:bookmarkStart w:id="38" w:name="how-cooperation-fuels-all-of-this"/>
      <w:bookmarkEnd w:id="38"/>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40" w:name="figures"/>
      <w:bookmarkEnd w:id="40"/>
      <w:r>
        <w:t xml:space="preserve">Figures</w:t>
      </w:r>
    </w:p>
    <w:p>
      <w:pPr>
        <w:pStyle w:val="Heading2"/>
      </w:pPr>
      <w:bookmarkStart w:id="41" w:name="figure-1"/>
      <w:bookmarkEnd w:id="41"/>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2"/>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43" w:name="figure-2"/>
      <w:bookmarkEnd w:id="43"/>
      <w:r>
        <w:t xml:space="preserve">Figure 2</w:t>
      </w:r>
    </w:p>
    <w:p>
      <w:r>
        <w:drawing>
          <wp:inline>
            <wp:extent cx="5334000" cy="193260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4"/>
                    <a:stretch>
                      <a:fillRect/>
                    </a:stretch>
                  </pic:blipFill>
                  <pic:spPr bwMode="auto">
                    <a:xfrm>
                      <a:off x="0" y="0"/>
                      <a:ext cx="5334000" cy="1932609"/>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Positive niche construction alone can not maintain cooperation (</w:t>
      </w:r>
      <m:oMath>
        <m:r>
          <m:rPr>
            <m:sty m:val="p"/>
          </m:rPr>
          <m:t>A</m:t>
        </m:r>
        <m:r>
          <m:rPr>
            <m:sty m:val="p"/>
          </m:rPr>
          <m:t>=</m:t>
        </m:r>
        <m:r>
          <m:rPr>
            <m:sty m:val="p"/>
          </m:rPr>
          <m:t>5</m:t>
        </m:r>
      </m:oMath>
      <w:r>
        <w:t xml:space="preserve">). Here again, cooperation is driven to extinction by equally-adapted defectors. (</w:t>
      </w:r>
      <w:r>
        <w:rPr>
          <w:b/>
        </w:rPr>
        <w:t xml:space="preserve">D</w:t>
      </w:r>
      <w:r>
        <w:t xml:space="preserve">) However, negative niche construction alone is also not sufficient to maintain cooperation, and cooperators are rapidly lost. (TODO do we know how?)</w:t>
      </w:r>
    </w:p>
    <w:p/>
    <w:p>
      <w:pPr>
        <w:pStyle w:val="Heading2"/>
      </w:pPr>
      <w:bookmarkStart w:id="45" w:name="figure-3"/>
      <w:bookmarkEnd w:id="45"/>
      <w:r>
        <w:t xml:space="preserve">Figure 3</w:t>
      </w:r>
    </w:p>
    <w:p>
      <w:r>
        <w:drawing>
          <wp:inline>
            <wp:extent cx="5334000" cy="242298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6"/>
                    <a:stretch>
                      <a:fillRect/>
                    </a:stretch>
                  </pic:blipFill>
                  <pic:spPr bwMode="auto">
                    <a:xfrm>
                      <a:off x="0" y="0"/>
                      <a:ext cx="5334000" cy="2422980"/>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7" w:name="figure-4"/>
      <w:bookmarkEnd w:id="47"/>
      <w:r>
        <w:t xml:space="preserve">Figure 4</w:t>
      </w:r>
    </w:p>
    <w:p>
      <w:r>
        <w:t xml:space="preserve">Cooperators invade defector population. Fully adapted but mismatched. Negative NC.</w:t>
      </w:r>
    </w:p>
    <w:p>
      <w:pPr>
        <w:pStyle w:val="Heading2"/>
      </w:pPr>
      <w:bookmarkStart w:id="48" w:name="figure-5"/>
      <w:bookmarkEnd w:id="48"/>
      <w:r>
        <w:t xml:space="preserve">Figure 5</w:t>
      </w:r>
    </w:p>
    <w:p>
      <w:r>
        <w:t xml:space="preserve">Defectors invade cooperator population. Fully adapted and matched. Role of Export.</w:t>
      </w:r>
    </w:p>
    <w:p>
      <w:pPr>
        <w:pStyle w:val="Heading2"/>
      </w:pPr>
      <w:bookmarkStart w:id="49" w:name="figure-6"/>
      <w:bookmarkEnd w:id="49"/>
      <w:r>
        <w:t xml:space="preserve">Figure 6</w:t>
      </w:r>
    </w:p>
    <w:p>
      <w:pPr>
        <w:pStyle w:val="Heading3"/>
      </w:pPr>
      <w:bookmarkStart w:id="50" w:name="figure-6a---effect-of-public-good-benefit-smax-smin"/>
      <w:bookmarkEnd w:id="50"/>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2" w:name="figure-6b---effect-of-migration-rate-m"/>
      <w:bookmarkEnd w:id="52"/>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4" w:name="tables"/>
      <w:bookmarkEnd w:id="5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5" w:name="references"/>
      <w:bookmarkEnd w:id="5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8">
        <w:r>
          <w:rPr>
            <w:rStyle w:val="Link"/>
          </w:rPr>
          <w:t xml:space="preserve">10.1101/016667</w:t>
        </w:r>
      </w:hyperlink>
      <w:r>
        <w:t xml:space="preserve">. Cold Spring Harbor Labs Journals.</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2be8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6" Target="http://dx.doi.org/10.1038/ismej.2014.259" TargetMode="External" /><Relationship Type="http://schemas.openxmlformats.org/officeDocument/2006/relationships/hyperlink" Id="rId58" Target="http://dx.doi.org/10.1101/016667" TargetMode="External" /><Relationship Type="http://schemas.openxmlformats.org/officeDocument/2006/relationships/hyperlink" Id="rId5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38/ismej.2014.259" TargetMode="External" /><Relationship Type="http://schemas.openxmlformats.org/officeDocument/2006/relationships/hyperlink" Id="rId58" Target="http://dx.doi.org/10.1101/016667" TargetMode="External" /><Relationship Type="http://schemas.openxmlformats.org/officeDocument/2006/relationships/hyperlink" Id="rId5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