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48.png" ContentType="image/png"/>
  <Override PartName="/word/media/rId50.png" ContentType="image/png"/>
  <Override PartName="/word/media/rId52.png" ContentType="image/png"/>
  <Override PartName="/word/media/rId55.pdf" ContentType="application/pdf"/>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Further, we show that cooperator success depends specifically on negative niche construction. Here, negative niche construction acts as a perpetual source of adaptive opportunities. As populations adapt, they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passivly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change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resulting environment. Under positive niche construction, selection favors the constructor, and evolution stagnates as this type fixes.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because of the endless opportunities for adaptation that it produces. These results suggest that cooperators can ensure their survival when they play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this expanded model,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 Box 1 provides additional information about the model.</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 binary allele at the</w:t>
      </w:r>
      <w:r>
        <w:t xml:space="preserve"> </w:t>
      </w:r>
      <w:r>
        <w:rPr>
          <w:i/>
        </w:rPr>
        <w:t xml:space="preserve">cooperation locus</w:t>
      </w:r>
      <w:r>
        <w:t xml:space="preserve"> </w:t>
      </w:r>
      <w:r>
        <w:t xml:space="preserve">(locus zero) determines whether that individual is a cooperator (</w:t>
      </w:r>
      <m:oMath>
        <m:r>
          <m:rPr>
            <m:sty m:val="p"/>
          </m:rPr>
          <m:t>1</m:t>
        </m:r>
      </m:oMath>
      <w:r>
        <w:t xml:space="preserve">), which carries fitness cost</w:t>
      </w:r>
      <w:r>
        <w:t xml:space="preserve"> </w:t>
      </w:r>
      <m:oMath>
        <m:r>
          <m:rPr>
            <m:sty m:val="p"/>
          </m:rPr>
          <m:t>c</m:t>
        </m:r>
      </m:oMath>
      <w:r>
        <w:t xml:space="preserve">, or a defector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affected by organisms. We implicitly represent this constructed</w:t>
      </w:r>
      <w:r>
        <w:t xml:space="preserve"> </w:t>
      </w:r>
      <w:r>
        <w:t xml:space="preserve">“</w:t>
      </w:r>
      <w:r>
        <w:t xml:space="preserve">niche</w:t>
      </w:r>
      <w:r>
        <w:t xml:space="preserve">”</w:t>
      </w:r>
      <w:r>
        <w:t xml:space="preserve"> </w:t>
      </w:r>
      <w:r>
        <w:t xml:space="preserve">based on the specific allelic states present in the subpopulation. As allelic states change, the subpopulation alters its environment, creating a unique niche. As described below, the specific alleles that are present at each locus matter.</w:t>
      </w:r>
    </w:p>
    <w:p>
      <w:r>
        <w:t xml:space="preserve">In our model, the feedback from niche construction takes the form of density dependent selection, and individuals evolve to better match their constructed niche.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 Box 1).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7" w:name="subpopulation-growth-and-the-benefit-of-cooperation"/>
      <w:bookmarkEnd w:id="27"/>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8" w:name="mutation"/>
      <w:bookmarkEnd w:id="28"/>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value randomly sampled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Because mutations are stochastic, the allelic sequences that evolve depend on which allele arises first and at which locus.</w:t>
      </w:r>
    </w:p>
    <w:p>
      <w:pPr>
        <w:pStyle w:val="Heading3"/>
      </w:pPr>
      <w:bookmarkStart w:id="29" w:name="migration"/>
      <w:bookmarkEnd w:id="29"/>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0" w:name="population-initialization-and-simulation"/>
      <w:bookmarkEnd w:id="30"/>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1" w:name="simulation-source-code-and-software-dependencies"/>
      <w:bookmarkEnd w:id="31"/>
      <w:r>
        <w:t xml:space="preserve">Simulation Source Code and Software Dependencies</w:t>
      </w:r>
    </w:p>
    <w:p>
      <w:r>
        <w:t xml:space="preserve">The simulation software and configurations for the experiments reported are available online.</w:t>
      </w:r>
      <w:r>
        <w:rPr>
          <w:rStyle w:val="FootnoteRef"/>
        </w:rPr>
        <w:footnoteReference w:id="32"/>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3" w:name="results"/>
      <w:bookmarkEnd w:id="33"/>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4" w:name="cooperation-persists-with-niche-construction"/>
      <w:bookmarkEnd w:id="34"/>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these populations.</w:t>
      </w:r>
    </w:p>
    <w:p>
      <w:pPr>
        <w:pStyle w:val="Heading2"/>
      </w:pPr>
      <w:bookmarkStart w:id="35" w:name="fitness-increases-alone-do-not-support-persisting-cooperation"/>
      <w:bookmarkEnd w:id="35"/>
      <w:r>
        <w:t xml:space="preserve">Fitness Increases Alone do not Support Persisting Cooperation</w:t>
      </w:r>
    </w:p>
    <w:p>
      <w:r>
        <w:t xml:space="preserve">Adaptations to both the external environment and the constructed environment contribute to an individual’s fitness in this model. To determine whether cooperation is maintained solely due to the larger selective values that result from the contributions of niche construction, we performed simulations in which these contributions were removed (</w:t>
      </w:r>
      <m:oMath>
        <m:r>
          <m:rPr>
            <m:sty m:val="p"/>
          </m:rPr>
          <m:t>ϵ</m:t>
        </m:r>
        <m:r>
          <m:rPr>
            <m:sty m:val="p"/>
          </m:rPr>
          <m:t>=</m:t>
        </m:r>
        <m:r>
          <m:rPr>
            <m:sty m:val="p"/>
          </m:rPr>
          <m:t>0</m:t>
        </m:r>
      </m:oMath>
      <w:r>
        <w:t xml:space="preserve">). We instead increased the fitness benefits conferred by adaptation to the external, non-constructed environment (</w:t>
      </w:r>
      <m:oMath>
        <m:r>
          <m:rPr>
            <m:sty m:val="p"/>
          </m:rPr>
          <m:t>δ</m:t>
        </m:r>
        <m:r>
          <m:rPr>
            <m:sty m:val="p"/>
          </m:rPr>
          <m:t>=</m:t>
        </m:r>
        <m:r>
          <m:rPr>
            <m:sty m:val="p"/>
          </m:rPr>
          <m:t>0</m:t>
        </m:r>
        <m:r>
          <m:rPr>
            <m:sty m:val="p"/>
          </m:rPr>
          <m:t>.</m:t>
        </m:r>
        <m:r>
          <m:rPr>
            <m:sty m:val="p"/>
          </m:rPr>
          <m:t>6</m:t>
        </m:r>
        <m:r>
          <m:rPr>
            <m:sty m:val="p"/>
          </m:rPr>
          <m:t>)</m:t>
        </m:r>
      </m:oMath>
      <w:r>
        <w:t xml:space="preserve">. In doing so, we conservatively estimate the selective effects of niche construction by supplementing the selective benefits of adaptations to the external environment by the maximum possible selective benefit that results from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6" w:name="negative-niche-construction-is-critical-to-cooperator-persistence"/>
      <w:bookmarkEnd w:id="36"/>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7" w:name="selective-feedbacks-limit-defector-invasion"/>
      <w:bookmarkEnd w:id="37"/>
      <w:r>
        <w:t xml:space="preserve">Selective Feedbacks Limit Defector Invasion</w:t>
      </w:r>
    </w:p>
    <w:p>
      <w:r>
        <w:t xml:space="preserve">The adaptation resulting from selective feedbacks can limit invasion by defectors, which arise either through 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 created.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38" w:name="discussion"/>
      <w:bookmarkEnd w:id="38"/>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in ours,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follow from negative niche construction. By gaining adaptations more quickly, cooperators resist invasion by defectors (</w:t>
      </w:r>
      <w:hyperlink w:anchor="fig3">
        <w:r>
          <w:rPr>
            <w:rStyle w:val="Link"/>
          </w:rPr>
          <w:t xml:space="preserve">Figure 3B</w:t>
        </w:r>
      </w:hyperlink>
      <w:r>
        <w:t xml:space="preserve">). Even in the presence of an equally-adapted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39" w:name="cooperation-as-niche-construction"/>
      <w:bookmarkEnd w:id="39"/>
      <w:r>
        <w:t xml:space="preserve">Cooperation as Niche Construction</w:t>
      </w:r>
    </w:p>
    <w:p>
      <w:r>
        <w:t xml:space="preserve">In our model, niche construction and adaptation are independent of cooperation, which allows us to focus on hitchhiking. However, by increasing the size of the subpopulation, this form of cooperation can itself be seen as a kind of niche construction. Cooperative benefits often take similar forms in natural systems.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0" w:name="evolution-at-multiple-timescales"/>
      <w:bookmarkEnd w:id="40"/>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 First, such changes in timescale would affect the selective values of alleles as the subpopulation changed. Changes in timescale would also influence whether or not subpopulations were able to evolve adapted types and if so, how well those adapted types can propagate through the population to address the threat of a defector.</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1" w:name="cooperation-and-niche-construction-in-host-symbiont-co-evolution"/>
      <w:bookmarkEnd w:id="41"/>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extention to our model, would be to treat the environment as a biological entity. As the host population changes, either in response to symbiont cooperation or other factors, so too does selection on their symbiont populations. Here, evolutionary outcomes depend greatly on the degree of shared interest between the host and symbiont. Future models could explicitly capture the environment as a biological entity to explore the rich co-evolutionary dynamics that these systems might offer. In our model, each patch could become hosts with their own genotypes, and death and reproduction at the host level could be defined in ways that are sensitive to both host and symbiont genotypes. Such a model could be used to explore the evolution of cooperation in host-symbiont systems, where cooperation among symbionts affects host fitness.</w:t>
      </w:r>
    </w:p>
    <w:p>
      <w:r>
        <w:t xml:space="preserve">For example, the cooperative production of virulence factors by the human pathogen</w:t>
      </w:r>
      <w:r>
        <w:t xml:space="preserve"> </w:t>
      </w:r>
      <w:r>
        <w:rPr>
          <w:i/>
        </w:rPr>
        <w:t xml:space="preserve">P. aeruginosa</w:t>
      </w:r>
      <w:r>
        <w:t xml:space="preserve"> </w:t>
      </w:r>
      <w:r>
        <w:t xml:space="preserve">is harmful to hosts with cystic fibrosis</w:t>
      </w:r>
      <w:r>
        <w:t xml:space="preserve"> </w:t>
      </w:r>
      <w:r>
        <w:t xml:space="preserve">(Harrison, 2007)</w:t>
      </w:r>
      <w:r>
        <w:t xml:space="preserve">. Following what we have shown in this work, these antagonistic, negative niche constructing behaviors may work to maintain these infections. If these populations do indeed benefit from adaptations that are created by niche construction, a case could perhaps be made for developing treatments that target the selective feedback loop that provides adaptive opportunities in these spatial environments. While the idea of removing negative selective feedbacks and supporting stability may seem counterintuitive, if it leaves the infecting population more susceptible, then perhaps pairing such a treatment with the introduction of defector mutants (see e.g.,</w:t>
      </w:r>
      <w:r>
        <w:t xml:space="preserve"> </w:t>
      </w:r>
      <w:r>
        <w:t xml:space="preserve">Rumbaugh et al. (2009)</w:t>
      </w:r>
      <w:r>
        <w:t xml:space="preserve">), could significantly improve host fitness. Expanding models such as ours to address the additional dynamics present in host-symbiont systems such as these could offer important new perspectives.</w:t>
      </w:r>
    </w:p>
    <w:p>
      <w:r>
        <w:t xml:space="preserve">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2" w:name="acknowledgments"/>
      <w:bookmarkEnd w:id="42"/>
      <w:r>
        <w:t xml:space="preserve">Acknowledgments</w:t>
      </w:r>
    </w:p>
    <w:p>
      <w:r>
        <w:t xml:space="preserve">We are grateful to Peter Conlin, Sylvie Estrela, Carrie Glenney, Martha Kornelius, and Luis Zaman for helpful comments on the manuscript, and to Anuraag Pakanati for assistance with simulations. This material is based upon work supported by the National Science Foundation Postdoctoral Research Fellowship in Biology under Grant No. DBI-1309318 (to BDC) and under Cooperative Agreement No. DBI-0939454 (BEACON STC). Computational resources were provided by an award from Google Inc. (to BDC and BK).</w:t>
      </w:r>
    </w:p>
    <w:p/>
    <w:p>
      <w:pPr>
        <w:pStyle w:val="Heading1"/>
      </w:pPr>
      <w:bookmarkStart w:id="43" w:name="box1"/>
      <w:bookmarkEnd w:id="43"/>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 0), this individual has allele 1, making it a cooperator. The adaptive loci (labeled 1-5)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 1.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 3 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 1.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 1).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4" w:name="figures"/>
      <w:bookmarkEnd w:id="44"/>
      <w:r>
        <w:t xml:space="preserve">Figures</w:t>
      </w:r>
    </w:p>
    <w:p>
      <w:pPr>
        <w:pStyle w:val="Heading2"/>
      </w:pPr>
      <w:bookmarkStart w:id="45" w:name="fig1"/>
      <w:bookmarkEnd w:id="45"/>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6"/>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Hitchhiking, and the Evolution of Cooperation.</w:t>
      </w:r>
      <w:r>
        <w:t xml:space="preserve"> </w:t>
      </w:r>
      <w:r>
        <w:t xml:space="preserve">Curves show the average cooperator proportion among replicate populations for the duration of simulations, and shaded areas indicate 95% confidence intervals. Unless otherwise noted, parameter values are listed in</w:t>
      </w:r>
      <w:r>
        <w:t xml:space="preserve"> </w:t>
      </w:r>
      <w:hyperlink w:anchor="tables">
        <w:r>
          <w:rPr>
            <w:rStyle w:val="Link"/>
          </w:rPr>
          <w:t xml:space="preserve">Table 1</w:t>
        </w:r>
      </w:hyperlink>
      <w:r>
        <w:t xml:space="preserve">.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enables cooperation to be maintained indefinitely. In the majority of populations, cooperation remained the dominant strategy. The trajectories of individual populations are shown in Figure 2A.</w:t>
      </w:r>
    </w:p>
    <w:p/>
    <w:p>
      <w:pPr>
        <w:pStyle w:val="Heading2"/>
      </w:pPr>
      <w:bookmarkStart w:id="47" w:name="fig2"/>
      <w:bookmarkEnd w:id="47"/>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48"/>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w:t>
      </w:r>
      <m:oMath>
        <m:r>
          <m:rPr>
            <m:sty m:val="p"/>
          </m:rPr>
          <m:t>ϵ</m:t>
        </m:r>
      </m:oMath>
      <w:r>
        <w:t xml:space="preserve">) are removed, and the selective benefit of adaptation to the external environment (</w:t>
      </w:r>
      <m:oMath>
        <m:r>
          <m:rPr>
            <m:sty m:val="p"/>
          </m:rPr>
          <m:t>δ</m:t>
        </m:r>
      </m:oMath>
      <w:r>
        <w:t xml:space="preserve">) is increased to compensate, cooperators are driven to extinction by isogenic defectors that arise by mutation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49" w:name="fig3"/>
      <w:bookmarkEnd w:id="49"/>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0"/>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Here, cooperation remained dominant in 91 of 160 populations (</w:t>
      </w:r>
      <m:oMath>
        <m:sSub>
          <m:e>
            <m:r>
              <m:rPr>
                <m:sty m:val="p"/>
              </m:rPr>
              <m:t>μ</m:t>
            </m:r>
          </m:e>
          <m:sub>
            <m:r>
              <m:rPr>
                <m:sty m:val="p"/>
              </m:rPr>
              <m:t>a</m:t>
            </m:r>
          </m:sub>
        </m:sSub>
        <m:r>
          <m:rPr>
            <m:sty m:val="p"/>
          </m:rPr>
          <m:t>=</m:t>
        </m:r>
        <m:r>
          <m:rPr>
            <m:sty m:val="p"/>
          </m:rPr>
          <m:t>0</m:t>
        </m:r>
        <m:r>
          <m:rPr>
            <m:sty m:val="p"/>
          </m:rPr>
          <m:t>.</m:t>
        </m:r>
        <m:r>
          <m:rPr>
            <m:sty m:val="p"/>
          </m:rPr>
          <m:t>00005</m:t>
        </m:r>
      </m:oMath>
      <w:r>
        <w:t xml:space="preserve">). Results from simulations where mutations also occurred at the cooperaiton locus are shown in Figure S1. (</w:t>
      </w:r>
      <w:r>
        <w:rPr>
          <w:b/>
        </w:rPr>
        <w:t xml:space="preserve">C</w:t>
      </w:r>
      <w:r>
        <w:t xml:space="preserve">) In fact, an adapted cooperator type (stress alleles [6,2,3,4,5], see Box 1) can swiftly displace defectors when isogenic defectors cannot arise or adapt via mutation.</w:t>
      </w:r>
    </w:p>
    <w:p/>
    <w:p>
      <w:pPr>
        <w:pStyle w:val="Heading2"/>
      </w:pPr>
      <w:bookmarkStart w:id="51" w:name="fig4"/>
      <w:bookmarkEnd w:id="51"/>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2"/>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subpopulation (red) is placed within an all-cooperator population (light blue). Because these defectors do not bear the costs of cooperation, they spread (</w:t>
      </w:r>
      <m:oMath>
        <m:r>
          <m:rPr>
            <m:sty m:val="p"/>
          </m:rPr>
          <m:t>t</m:t>
        </m:r>
        <m:r>
          <m:rPr>
            <m:sty m:val="p"/>
          </m:rPr>
          <m:t>=</m:t>
        </m:r>
        <m:r>
          <m:rPr>
            <m:sty m:val="p"/>
          </m:rPr>
          <m:t>272</m:t>
        </m:r>
      </m:oMath>
      <w:r>
        <w:t xml:space="preserve">). However, cooperators in one subpopulation gain an adaptation that gives them a fitness advantage over defectors (second panel, dark blue, lower left). At</w:t>
      </w:r>
      <w:r>
        <w:t xml:space="preserve"> </w:t>
      </w:r>
      <m:oMath>
        <m:r>
          <m:rPr>
            <m:sty m:val="p"/>
          </m:rPr>
          <m:t>t</m:t>
        </m:r>
        <m:r>
          <m:rPr>
            <m:sty m:val="p"/>
          </m:rPr>
          <m:t>=</m:t>
        </m:r>
        <m:r>
          <m:rPr>
            <m:sty m:val="p"/>
          </m:rPr>
          <m:t>325</m:t>
        </m:r>
      </m:oMath>
      <w:r>
        <w:t xml:space="preserve">, defectors continue to invade cooperator subpopulations. However, the adapted cooperator type spreads more quickly due to its fitness advantage, invading both defector subpopulations and ancestral cooperator subpopulations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(orange).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3" w:name="box-1-figures"/>
      <w:bookmarkEnd w:id="53"/>
      <w:r>
        <w:t xml:space="preserve">Box 1 Figures</w:t>
      </w:r>
    </w:p>
    <w:p/>
    <w:p>
      <w:pPr>
        <w:pStyle w:val="Heading2"/>
      </w:pPr>
      <w:bookmarkStart w:id="54" w:name="figB1"/>
      <w:bookmarkEnd w:id="54"/>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6" w:name="supplemental-figures"/>
      <w:bookmarkEnd w:id="56"/>
      <w:r>
        <w:t xml:space="preserve">Supplemental Figures</w:t>
      </w:r>
    </w:p>
    <w:p/>
    <w:p>
      <w:pPr>
        <w:pStyle w:val="Heading2"/>
      </w:pPr>
      <w:bookmarkStart w:id="57" w:name="figS1"/>
      <w:bookmarkEnd w:id="57"/>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58"/>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r>
          <m:rPr>
            <m:sty m:val="p"/>
          </m:rPr>
          <m:t>μ</m:t>
        </m:r>
        <m:r>
          <m:rPr>
            <m:sty m:val="p"/>
          </m:rPr>
          <m:t>c</m:t>
        </m:r>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59" w:name="tables"/>
      <w:bookmarkEnd w:id="59"/>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0" w:name="references"/>
      <w:bookmarkEnd w:id="60"/>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1">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2">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Rumbaugh, K.P., Diggle, S.P., Watters, C.M., Ross-Gillespie, A., Griffin, A.S. and West, S.A. 2009. Quorum sensing and the social evolution of bacterial virulence.</w:t>
      </w:r>
      <w:r>
        <w:t xml:space="preserve"> </w:t>
      </w:r>
      <w:r>
        <w:rPr>
          <w:i/>
        </w:rPr>
        <w:t xml:space="preserve">Current Biology</w:t>
      </w:r>
      <w:r>
        <w:t xml:space="preserve">,</w:t>
      </w:r>
      <w:r>
        <w:t xml:space="preserve"> </w:t>
      </w:r>
      <w:r>
        <w:rPr>
          <w:b/>
        </w:rPr>
        <w:t xml:space="preserve">19</w:t>
      </w:r>
      <w:r>
        <w:t xml:space="preserve">: 341–345.</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2">
    <w:p>
      <w:pPr>
        <w:pStyle w:val="FootnoteText"/>
      </w:pPr>
      <w:r>
        <w:rPr>
          <w:rStyle w:val="FootnoteRef"/>
        </w:rPr>
        <w:footnoteRef/>
      </w:r>
      <w:r>
        <w:t xml:space="preserve">These materials will be made public prior to publication.</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39268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df" /><Relationship Type="http://schemas.openxmlformats.org/officeDocument/2006/relationships/image" Id="rId58" Target="media/rId58.png" /><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1038/ismej.2014.259" TargetMode="External" /><Relationship Type="http://schemas.openxmlformats.org/officeDocument/2006/relationships/hyperlink" Id="rId62" Target="http://dx.doi.org/10.1101/0166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