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gives the number of individuals in the population with allelic state</w:t>
      </w:r>
      <w:r>
        <w:t xml:space="preserve"> </w:t>
      </w:r>
      <m:oMath>
        <m:r>
          <m:rPr>
            <m:sty m:val="p"/>
          </m:rPr>
          <m:t>a</m:t>
        </m:r>
      </m:oMath>
      <w:r>
        <w:t xml:space="preserve"> </w:t>
      </w:r>
      <w:r>
        <w:t xml:space="preserve">at the locus</w:t>
      </w:r>
      <w:r>
        <w:t xml:space="preserve"> </w:t>
      </w:r>
      <m:oMath>
        <m:r>
          <m:rPr>
            <m:sty m:val="p"/>
          </m:rPr>
          <m:t>l</m:t>
        </m:r>
      </m:oMath>
      <w:r>
        <w:t xml:space="preserve"> </w:t>
      </w:r>
      <w:r>
        <w:t xml:space="preserve">(Equation 2), and</w:t>
      </w:r>
      <w:r>
        <w:t xml:space="preserve"> </w:t>
      </w:r>
      <m:oMath>
        <m:r>
          <m:rPr>
            <m:sty m:val="p"/>
          </m:rPr>
          <m:t>t</m:t>
        </m:r>
        <m:r>
          <m:rPr>
            <m:sty m:val="p"/>
          </m:rPr>
          <m:t>h</m:t>
        </m:r>
        <m:r>
          <m:rPr>
            <m:sty m:val="p"/>
          </m:rPr>
          <m:t>e</m:t>
        </m:r>
        <m:r>
          <m:rPr>
            <m:sty m:val="p"/>
          </m:rPr>
          <m:t>f</m:t>
        </m:r>
        <m:r>
          <m:rPr>
            <m:sty m:val="p"/>
          </m:rPr>
          <m:t>u</m:t>
        </m:r>
        <m:r>
          <m:rPr>
            <m:sty m:val="p"/>
          </m:rPr>
          <m:t>n</m:t>
        </m:r>
        <m:r>
          <m:rPr>
            <m:sty m:val="p"/>
          </m:rPr>
          <m:t>c</m:t>
        </m:r>
        <m:r>
          <m:rPr>
            <m:sty m:val="p"/>
          </m:rPr>
          <m:t>t</m:t>
        </m:r>
        <m:r>
          <m:rPr>
            <m:sty m:val="p"/>
          </m:rPr>
          <m:t>i</m:t>
        </m:r>
        <m:r>
          <m:rPr>
            <m:sty m:val="p"/>
          </m:rPr>
          <m:t>o</m:t>
        </m:r>
        <m:r>
          <m:rPr>
            <m:sty m:val="p"/>
          </m:rPr>
          <m:t>n</m:t>
        </m:r>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2</m:t>
          </m:r>
          <m:r>
            <m:rPr>
              <m:sty m:val="p"/>
            </m:rPr>
            <m:t>)</m:t>
          </m:r>
        </m:oMath>
      </m:oMathPara>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b---fitness-with-double-delta-no-epsilon"/>
      <w:bookmarkEnd w:id="46"/>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pPr>
        <w:pStyle w:val="Heading3"/>
      </w:pPr>
      <w:bookmarkStart w:id="48" w:name="figure-3c---fitness-with-no-negative-niche-construction-l5-a5"/>
      <w:bookmarkEnd w:id="48"/>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w:t>
      </w:r>
    </w:p>
    <w:p>
      <w:pPr>
        <w:pStyle w:val="Heading2"/>
      </w:pPr>
      <w:bookmarkStart w:id="50" w:name="figure-4"/>
      <w:bookmarkEnd w:id="50"/>
      <w:r>
        <w:t xml:space="preserve">Figure 4</w:t>
      </w:r>
    </w:p>
    <w:p>
      <w:r>
        <w:t xml:space="preserve">Cooperators invade from single population</w:t>
      </w:r>
    </w:p>
    <w:p>
      <w:pPr>
        <w:pStyle w:val="Heading2"/>
      </w:pPr>
      <w:bookmarkStart w:id="51" w:name="figure-5"/>
      <w:bookmarkEnd w:id="51"/>
      <w:r>
        <w:t xml:space="preserve">Figure 5</w:t>
      </w:r>
    </w:p>
    <w:p>
      <w:r>
        <w:t xml:space="preserve">Defectors are kept at bay</w:t>
      </w:r>
    </w:p>
    <w:p>
      <w:pPr>
        <w:pStyle w:val="Heading2"/>
      </w:pPr>
      <w:bookmarkStart w:id="52" w:name="figure-6"/>
      <w:bookmarkEnd w:id="52"/>
      <w:r>
        <w:t xml:space="preserve">Figure 6</w:t>
      </w:r>
    </w:p>
    <w:p>
      <w:pPr>
        <w:pStyle w:val="Heading3"/>
      </w:pPr>
      <w:bookmarkStart w:id="53" w:name="figure-6a---effect-of-migration-rate-m"/>
      <w:bookmarkEnd w:id="53"/>
      <w:r>
        <w:t xml:space="preserve">Figure 6A - Effect of Migration Rate (m)</w:t>
      </w:r>
    </w:p>
    <w:p>
      <w:pPr>
        <w:pStyle w:val="Heading3"/>
      </w:pPr>
      <w:bookmarkStart w:id="54" w:name="figure-6b---effect-of-public-good-benefit-smax-smin"/>
      <w:bookmarkEnd w:id="54"/>
      <w:r>
        <w:t xml:space="preserve">Figure 6B - Effect of Public Good Benefit (Smax-Smin)</w:t>
      </w:r>
    </w:p>
    <w:p/>
    <w:p>
      <w:pPr>
        <w:pStyle w:val="Heading1"/>
      </w:pPr>
      <w:bookmarkStart w:id="55" w:name="tables"/>
      <w:bookmarkEnd w:id="55"/>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6" w:name="references"/>
      <w:bookmarkEnd w:id="56"/>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7">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8">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5b4b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2568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32" Target="Coopeative%20Niche%20Construction" TargetMode="External" /><Relationship Type="http://schemas.openxmlformats.org/officeDocument/2006/relationships/hyperlink" Id="rId57" Target="http://dx.doi.org/10.1038/ismej.2014.259" TargetMode="External" /><Relationship Type="http://schemas.openxmlformats.org/officeDocument/2006/relationships/hyperlink" Id="rId58"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7" Target="http://dx.doi.org/10.1038/ismej.2014.259" TargetMode="External" /><Relationship Type="http://schemas.openxmlformats.org/officeDocument/2006/relationships/hyperlink" Id="rId58"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