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explore whether the selective feedbacks generated by niche construction can act as a source of adaptive opportunities that enables cooperators to persist. As populations adapt to their environment, they alter selection of non-social alleles.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Niche construction and selective feedbacks</w:t>
      </w:r>
    </w:p>
    <w:p>
      <w:r>
        <w:t xml:space="preserve">Niche construction and cooperation</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numPr>
          <w:numId w:val="1001"/>
          <w:ilvl w:val="0"/>
        </w:numPr>
      </w:pPr>
      <w:r>
        <w:t xml:space="preserve">future QS or other 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90ad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82af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