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27" w:name="figures"/>
      <w:bookmarkEnd w:id="27"/>
      <w:r>
        <w:t xml:space="preserve">Figures</w:t>
      </w:r>
    </w:p>
    <w:p/>
    <w:p>
      <w:pPr>
        <w:pStyle w:val="Heading1"/>
      </w:pPr>
      <w:bookmarkStart w:id="28" w:name="tables"/>
      <w:bookmarkEnd w:id="2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29" w:name="references"/>
      <w:bookmarkEnd w:id="29"/>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0">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8ac7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b3c6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0"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