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3.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ethods"/>
      <w:bookmarkEnd w:id="23"/>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have more mutational opportunities to gain adaptations. Cooperation can hitchhike along with these adaptations, which compensate for the cost of public good production. During this process, individuals also alter their environment based on the genotypes present in the population.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w:t>
      </w:r>
    </w:p>
    <w:p>
      <w:pPr>
        <w:pStyle w:val="Heading2"/>
      </w:pPr>
      <w:bookmarkStart w:id="27" w:name="niche-construction-maintains-cooperation"/>
      <w:bookmarkEnd w:id="27"/>
      <w:r>
        <w:t xml:space="preserve">Niche Construction Maintains Cooperation</w:t>
      </w:r>
    </w:p>
    <w:p>
      <w:r>
        <w:t xml:space="preserve">Without the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With adaptive opportunities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this advantage diminishes as defector populations become equally adapted, and cooperators are outcompeted. When populations affect their environment and these changes feed back on selection, we find that cooperation can persist, perhaps indefinitely (Figure 1C, 3A). In these environments, cooperators maintain higher fitness than cooperators, which enables survival (Figure 3A).</w:t>
      </w:r>
    </w:p>
    <w:p>
      <w:pPr>
        <w:pStyle w:val="Heading2"/>
      </w:pPr>
      <w:bookmarkStart w:id="28" w:name="fitness-increases-do-not-support-cooperation"/>
      <w:bookmarkEnd w:id="28"/>
      <w:r>
        <w:t xml:space="preserve">Fitness Increases do not Support Cooperation</w:t>
      </w:r>
    </w:p>
    <w:p>
      <w:r>
        <w:t xml:space="preserve">In our model, niche construction provides additional selective benefits. To determine how these selective effects contribute to our results,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3).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9" w:name="positive-niche-construction-prolongs-cooperation-but-is-not-sufficient"/>
      <w:bookmarkEnd w:id="29"/>
      <w:r>
        <w:t xml:space="preserve">Positive Niche Construction Prolongs Cooperation but is not Sufficient</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30" w:name="negative-niche-construction-is-not-sufficient"/>
      <w:bookmarkEnd w:id="30"/>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However,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1" w:name="nc-enables-cooperator-spread"/>
      <w:bookmarkEnd w:id="31"/>
      <w:r>
        <w:t xml:space="preserve">NC Enables Cooperator Spread</w:t>
      </w:r>
    </w:p>
    <w:p>
      <w:r>
        <w:t xml:space="preserve">Figure 4 - if not, could be why thinning is a must.</w:t>
      </w:r>
    </w:p>
    <w:p>
      <w:pPr>
        <w:pStyle w:val="Heading2"/>
      </w:pPr>
      <w:bookmarkStart w:id="32" w:name="nc-prevents-defector-invasion"/>
      <w:bookmarkEnd w:id="32"/>
      <w:r>
        <w:t xml:space="preserve">NC Prevents Defector Invasion</w:t>
      </w:r>
    </w:p>
    <w:p>
      <w:r>
        <w:t xml:space="preserve">Figure 5</w:t>
      </w:r>
    </w:p>
    <w:p>
      <w:pPr>
        <w:pStyle w:val="Heading2"/>
      </w:pPr>
      <w:bookmarkStart w:id="33" w:name="how-public-good-fuels-all-of-this"/>
      <w:bookmarkEnd w:id="33"/>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2"/>
          <w:ilvl w:val="1"/>
        </w:numPr>
      </w:pPr>
      <w:r>
        <w:t xml:space="preserve">niche construction helps. but how?</w:t>
      </w:r>
    </w:p>
    <w:p>
      <w:pPr>
        <w:pStyle w:val="Compact"/>
        <w:numPr>
          <w:numId w:val="1002"/>
          <w:ilvl w:val="1"/>
        </w:numPr>
      </w:pPr>
      <w:r>
        <w:t xml:space="preserve">the extra fitness that it provides does not account for it</w:t>
      </w:r>
    </w:p>
    <w:p>
      <w:pPr>
        <w:pStyle w:val="Compact"/>
        <w:numPr>
          <w:numId w:val="1003"/>
          <w:ilvl w:val="2"/>
        </w:numPr>
      </w:pPr>
      <w:r>
        <w:t xml:space="preserve">in fact, cooperators never get to max fitness!</w:t>
      </w:r>
    </w:p>
    <w:p>
      <w:pPr>
        <w:pStyle w:val="Compact"/>
        <w:numPr>
          <w:numId w:val="1002"/>
          <w:ilvl w:val="1"/>
        </w:numPr>
      </w:pPr>
      <w:r>
        <w:t xml:space="preserve">negative niche construction plays a role</w:t>
      </w:r>
    </w:p>
    <w:p>
      <w:pPr>
        <w:pStyle w:val="Compact"/>
        <w:numPr>
          <w:numId w:val="1002"/>
          <w:ilvl w:val="1"/>
        </w:numPr>
      </w:pPr>
      <w:r>
        <w:t xml:space="preserve">negative niche construction alone does not help</w:t>
      </w:r>
    </w:p>
    <w:p>
      <w:pPr>
        <w:pStyle w:val="Compact"/>
        <w:numPr>
          <w:numId w:val="1001"/>
          <w:ilvl w:val="0"/>
        </w:numPr>
      </w:pPr>
      <w:r>
        <w:t xml:space="preserve">similarities/differences from previous work</w:t>
      </w:r>
    </w:p>
    <w:p>
      <w:pPr>
        <w:pStyle w:val="Compact"/>
        <w:numPr>
          <w:numId w:val="1004"/>
          <w:ilvl w:val="1"/>
        </w:numPr>
      </w:pPr>
      <w:r>
        <w:t xml:space="preserve">Schwilk and Kerr (2002)</w:t>
      </w:r>
    </w:p>
    <w:p>
      <w:pPr>
        <w:pStyle w:val="Compact"/>
        <w:numPr>
          <w:numId w:val="1004"/>
          <w:ilvl w:val="1"/>
        </w:numPr>
      </w:pPr>
      <w:r>
        <w:t xml:space="preserve">10.1073/pnas.0812644106</w:t>
      </w:r>
    </w:p>
    <w:p>
      <w:pPr>
        <w:pStyle w:val="Compact"/>
        <w:numPr>
          <w:numId w:val="1001"/>
          <w:ilvl w:val="0"/>
        </w:numPr>
      </w:pPr>
      <w:r>
        <w:t xml:space="preserve">negative/positive NC</w:t>
      </w:r>
    </w:p>
    <w:p>
      <w:pPr>
        <w:pStyle w:val="Compact"/>
        <w:numPr>
          <w:numId w:val="1005"/>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6"/>
          <w:ilvl w:val="1"/>
        </w:numPr>
      </w:pPr>
      <w:r>
        <w:t xml:space="preserve">Rodrigues (2012)</w:t>
      </w:r>
    </w:p>
    <w:p>
      <w:pPr>
        <w:pStyle w:val="Compact"/>
        <w:numPr>
          <w:numId w:val="1006"/>
          <w:ilvl w:val="1"/>
        </w:numPr>
      </w:pPr>
      <w:r>
        <w:t xml:space="preserve">Dumas and Kümmerli (2010)</w:t>
      </w:r>
    </w:p>
    <w:p>
      <w:pPr>
        <w:pStyle w:val="Compact"/>
        <w:numPr>
          <w:numId w:val="1006"/>
          <w:ilvl w:val="1"/>
        </w:numPr>
      </w:pPr>
      <w:r>
        <w:t xml:space="preserve">Kümmerli and Brown (2010)</w:t>
      </w:r>
    </w:p>
    <w:p>
      <w:pPr>
        <w:pStyle w:val="Compact"/>
        <w:numPr>
          <w:numId w:val="1006"/>
          <w:ilvl w:val="1"/>
        </w:numPr>
      </w:pPr>
      <w:r>
        <w:t xml:space="preserve">Darch/Diggle</w:t>
      </w:r>
    </w:p>
    <w:p>
      <w:pPr>
        <w:pStyle w:val="Compact"/>
        <w:numPr>
          <w:numId w:val="1006"/>
          <w:ilvl w:val="1"/>
        </w:numPr>
      </w:pPr>
      <w:r>
        <w:t xml:space="preserve">QS?</w:t>
      </w:r>
    </w:p>
    <w:p>
      <w:pPr>
        <w:pStyle w:val="Compact"/>
        <w:numPr>
          <w:numId w:val="1006"/>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pPr>
        <w:pStyle w:val="Heading2"/>
      </w:pPr>
      <w:bookmarkStart w:id="34" w:name="public-goods"/>
      <w:bookmarkEnd w:id="34"/>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5">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6" w:name="primacyrecency"/>
      <w:bookmarkEnd w:id="36"/>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7" w:name="cooperative-niche-construction"/>
      <w:bookmarkEnd w:id="37"/>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8" w:name="host-symbiont"/>
      <w:bookmarkEnd w:id="38"/>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pPr>
        <w:pStyle w:val="Compact"/>
        <w:numPr>
          <w:numId w:val="1007"/>
          <w:ilvl w:val="0"/>
        </w:numPr>
      </w:pPr>
      <w:r>
        <w:t xml:space="preserve">TODO: Organizers?</w:t>
      </w:r>
    </w:p>
    <w:p>
      <w:pPr>
        <w:pStyle w:val="Compact"/>
        <w:numPr>
          <w:numId w:val="1007"/>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allows cooperation to be maintained in 13 of 18 replicate populations. (</w:t>
      </w:r>
      <w:r>
        <w:rPr>
          <w:b/>
        </w:rPr>
        <w:t xml:space="preserve">D</w:t>
      </w:r>
      <w:r>
        <w:t xml:space="preserve">) While it does contribute to success, positive niche construction alone does not maintain cooperation (</w:t>
      </w:r>
      <m:oMath>
        <m:r>
          <m:rPr>
            <m:sty m:val="p"/>
          </m:rPr>
          <m:t>A</m:t>
        </m:r>
        <m:r>
          <m:rPr>
            <m:sty m:val="p"/>
          </m:rPr>
          <m:t>=</m:t>
        </m:r>
        <m:r>
          <m:rPr>
            <m:sty m:val="p"/>
          </m:rPr>
          <m:t>5</m:t>
        </m:r>
      </m:oMath>
      <w:r>
        <w:t xml:space="preserve">).</w:t>
      </w:r>
    </w:p>
    <w:p/>
    <w:p>
      <w:pPr>
        <w:pStyle w:val="Heading2"/>
      </w:pPr>
      <w:bookmarkStart w:id="43" w:name="figure-2"/>
      <w:bookmarkEnd w:id="43"/>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5" w:name="figure-3"/>
      <w:bookmarkEnd w:id="45"/>
      <w:r>
        <w:t xml:space="preserve">Figure 3</w:t>
      </w:r>
    </w:p>
    <w:p>
      <w:r>
        <w:t xml:space="preserve">Mean fitness over time for the treatments shown in Figure 2</w:t>
      </w:r>
    </w:p>
    <w:p>
      <w:pPr>
        <w:pStyle w:val="Heading3"/>
      </w:pPr>
      <w:bookmarkStart w:id="46" w:name="figure-3a---fitness-for-base-case-niche-construction"/>
      <w:bookmarkEnd w:id="46"/>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48" w:name="figure-3b---fitness-with-double-delta-no-epsilon"/>
      <w:bookmarkEnd w:id="48"/>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0" w:name="figure-3c---fitness-with-no-negative-niche-construction-l5-a5"/>
      <w:bookmarkEnd w:id="50"/>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2" w:name="figure-3d---fitness-with-extreme-negative-niche-construction-l1-a6"/>
      <w:bookmarkEnd w:id="52"/>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4" w:name="figure-4"/>
      <w:bookmarkEnd w:id="54"/>
      <w:r>
        <w:t xml:space="preserve">Figure 4</w:t>
      </w:r>
    </w:p>
    <w:p>
      <w:r>
        <w:t xml:space="preserve">Cooperators invade from single population</w:t>
      </w:r>
    </w:p>
    <w:p>
      <w:pPr>
        <w:pStyle w:val="Heading2"/>
      </w:pPr>
      <w:bookmarkStart w:id="55" w:name="figure-5"/>
      <w:bookmarkEnd w:id="55"/>
      <w:r>
        <w:t xml:space="preserve">Figure 5</w:t>
      </w:r>
    </w:p>
    <w:p>
      <w:r>
        <w:t xml:space="preserve">Defectors are kept at bay</w:t>
      </w:r>
    </w:p>
    <w:p>
      <w:pPr>
        <w:pStyle w:val="Heading2"/>
      </w:pPr>
      <w:bookmarkStart w:id="56" w:name="figure-6"/>
      <w:bookmarkEnd w:id="56"/>
      <w:r>
        <w:t xml:space="preserve">Figure 6</w:t>
      </w:r>
    </w:p>
    <w:p>
      <w:pPr>
        <w:pStyle w:val="Heading3"/>
      </w:pPr>
      <w:bookmarkStart w:id="57" w:name="figure-6a---effect-of-public-good-benefit-smax-smin"/>
      <w:bookmarkEnd w:id="57"/>
      <w:r>
        <w:t xml:space="preserve">Figure 6A - Effect of Public Good Benefit (Smax-Smin)</w:t>
      </w:r>
    </w:p>
    <w:p>
      <w:pPr>
        <w:pStyle w:val="Heading3"/>
      </w:pPr>
      <w:bookmarkStart w:id="58" w:name="figure-6b---effect-of-migration-rate-m"/>
      <w:bookmarkEnd w:id="58"/>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0" w:name="tables"/>
      <w:bookmarkEnd w:id="60"/>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1" w:name="references"/>
      <w:bookmarkEnd w:id="61"/>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2">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3">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16e2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54b4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5"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