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then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deaths, organisms constantly modify their environment. These changes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or some other type is most adapted in the resulting environment. Under positive niche construction, selection favors the constructor, and evolution stagnates as this type fixes. Under negative niche construction, selection favors a type other than the constructor. In this latter case,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adaptive opportunities that it produces. Furthermore, we show that the rate at which niche construction occurs is also crucial.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additionally modify their local environment. As this process occurs, environmental changes feed back to affect selection. We explore how niche construction affects this process of adaptation and whether cooperation can be maintained because of selective feedbacks.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These non-zero alleles signify adaptations to the external environment that are not affected by other individuals or the local niche.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Niche construction takes the form of density dependent selection, and individuals evolve to better match their niche by a second form of adaptation.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w:t>
      </w:r>
      <m:oMath>
        <m:r>
          <m:rPr>
            <m:sty m:val="p"/>
          </m:rPr>
          <m:t>δ</m:t>
        </m:r>
      </m:oMath>
      <w:r>
        <w:t xml:space="preserve">) and adaptations to its constructed environment (</w:t>
      </w:r>
      <m:oMath>
        <m:r>
          <m:rPr>
            <m:sty m:val="p"/>
          </m:rPr>
          <m:t>ϵ</m:t>
        </m:r>
      </m:oMath>
      <w:r>
        <w:t xml:space="preserve">).</w:t>
      </w:r>
      <w:r>
        <w:t xml:space="preserve"> </w:t>
      </w:r>
      <w:hyperlink w:anchor="fig1">
        <w:r>
          <w:rPr>
            <w:rStyle w:val="Link"/>
          </w:rPr>
          <w:t xml:space="preserve">Figure 1</w:t>
        </w:r>
      </w:hyperlink>
      <w:r>
        <w:t xml:space="preserve"> </w:t>
      </w:r>
      <w:r>
        <w:t xml:space="preserve">illustrates the effects of these two components.</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feeds back to influence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as before. As previously described by</w:t>
      </w:r>
      <w:r>
        <w:t xml:space="preserve"> </w:t>
      </w:r>
      <w:r>
        <w:t xml:space="preserve">Hammarlund et al. (2015)</w:t>
      </w:r>
      <w:r>
        <w:t xml:space="preserve">, however, cooperation is subsequently lost once populations become fully adapted to their environment. Once this has occurred, isogenic defectors (i.e., defectors with identical adaptive loci) arise via mutation and displace cooperation due to their selective advantage. However, when niche construction creates selective feedbacks, cooperation persists in over 2/3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(see</w:t>
      </w:r>
      <w:r>
        <w:t xml:space="preserve"> </w:t>
      </w:r>
      <w:hyperlink w:anchor="fig1">
        <w:r>
          <w:rPr>
            <w:rStyle w:val="Link"/>
          </w:rPr>
          <w:t xml:space="preserve">Figure 1</w:t>
        </w:r>
      </w:hyperlink>
      <w:r>
        <w:t xml:space="preserve">).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favor selection for a new 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these isogenic defectors rapidly spread when introduced at a single patch in the center of an</w:t>
      </w:r>
      <w:r>
        <w:t xml:space="preserve"> </w:t>
      </w:r>
      <m:oMath>
        <m:r>
          <m:rPr>
            <m:sty m:val="p"/>
          </m:rPr>
          <m:t>11</m:t>
        </m:r>
        <m:r>
          <m:rPr>
            <m:sty m:val="p"/>
          </m:rPr>
          <m:t>×</m:t>
        </m:r>
        <m:r>
          <m:rPr>
            <m:sty m:val="p"/>
          </m:rPr>
          <m:t>11</m:t>
        </m:r>
      </m:oMath>
      <w:r>
        <w:t xml:space="preserve"> </w:t>
      </w:r>
      <w:r>
        <w:t xml:space="preserve">population of cooperators if mutations do not occur. However, when resident cooperators can gain adaptations via mutation,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cooperation survived. In that population, defectors quickly began to spread. However, an adaptation arose at a neighboring cooperator population that was more fit. This type spread more quickly, halting defectors and eventually driving them to extinction. Because this adaption occurred in a cooperator population, cooperation was able to hitchhike to safety.</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2"/>
      </w:pPr>
      <w:bookmarkStart w:id="37" w:name="the-rate-of-niche-construction-matters"/>
      <w:bookmarkEnd w:id="37"/>
      <w:r>
        <w:t xml:space="preserve">The Rate of Niche Construction Matters</w:t>
      </w:r>
    </w:p>
    <w:p>
      <w:r>
        <w:rPr>
          <w:b/>
        </w:rPr>
        <w:t xml:space="preserve">TODO</w:t>
      </w:r>
      <w:r>
        <w:t xml:space="preserve">: Sorry, results coming soon!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2">
        <w:r>
          <w:rPr>
            <w:rStyle w:val="Link"/>
          </w:rPr>
          <w:t xml:space="preserve">Figure 2C</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which indicates that niche construction and the selective feedbacks that it produces play a crucial role.</w:t>
      </w:r>
    </w:p>
    <w:p>
      <w:r>
        <w:t xml:space="preserve">Further, we find that it is specifically negative niche construction that maintains cooperation (</w:t>
      </w:r>
      <w:hyperlink w:anchor="fig3">
        <w:r>
          <w:rPr>
            <w:rStyle w:val="Link"/>
          </w:rPr>
          <w:t xml:space="preserve">Figure 3C</w:t>
        </w:r>
      </w:hyperlink>
      <w:r>
        <w:t xml:space="preserve">). Here we observe another facet of the Hankshaw effect: because populations of cooperators are larger, they are better able to respond to the adaptive opportunities that result from negative niche construction.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type constructs an environment in which a different 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It is these recurring cycles of invasion and adaptation that underlie the oscillations in cooperator populations that we see in</w:t>
      </w:r>
      <w:r>
        <w:t xml:space="preserve"> </w:t>
      </w:r>
      <w:hyperlink w:anchor="fig3">
        <w:r>
          <w:rPr>
            <w:rStyle w:val="Link"/>
          </w:rPr>
          <w:t xml:space="preserve">Figure 3A</w:t>
        </w:r>
      </w:hyperlink>
      <w:r>
        <w:t xml:space="preserve">. When stochastic mutations do not confer these adaptations, defectors invade, and the cycle is broken.</w:t>
      </w:r>
    </w:p>
    <w:p>
      <w:r>
        <w:rPr>
          <w:b/>
        </w:rPr>
        <w:t xml:space="preserve">TODO: the rate of niche construction is crucial</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TODO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start with the case with five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locus—the genotype on the far left. Random mutation will introduce a non-zero allele, which is expected to increase in frequency. For simplicity, we assume that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 A divides evenly into L, this genotype can evolve into a perfectly reinforcing sequence [1,2,3,4,5], which enjoys an maximal epsilon increment of fitness of due to its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Thus, we see that correcting one mismatch generates a new mismatch. Thus, this system will never escape its mismatches– the red sector just clicks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(13/18), cooperation remained the dominant strategy. Individual populations are shown in Figure 3A.</w:t>
      </w:r>
    </w:p>
    <w:p/>
    <w:p>
      <w:pPr>
        <w:pStyle w:val="Heading2"/>
      </w:pPr>
      <w:bookmarkStart w:id="45" w:name="fig3"/>
      <w:bookmarkEnd w:id="45"/>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Dispite some oscillations,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highlight the dynamics of invasion. The results from simulations where this limitation is remoed are shown in Figure S1. (</w:t>
      </w:r>
      <w:r>
        <w:rPr>
          <w:b/>
        </w:rPr>
        <w:t xml:space="preserve">A</w:t>
      </w:r>
      <w:r>
        <w:t xml:space="preserve">) When cooperators and defectors are isogenic (i.e., both types have stress alleles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isogenic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We demonstrate that adaptations such as these can enable an cooperator (stress alleles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types among populations over time for one representative simulation in which isogenic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second panel). However, cooperators in a single population gain an adaptation that give them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type, which can invade both defector populations and ancestral cooperator populations, can spread more quickly due to its greater fitness. Eventually, this strategy spreads and fixes in all populations (rightmost panel) until this strategy itself is replaced by the next adaptation.</w:t>
      </w:r>
    </w:p>
    <w:p/>
    <w:p>
      <w:pPr>
        <w:pStyle w:val="Heading2"/>
      </w:pPr>
      <w:bookmarkStart w:id="51" w:name="fig6"/>
      <w:bookmarkEnd w:id="51"/>
      <w:r>
        <w:t xml:space="preserve">Figure 6</w:t>
      </w:r>
    </w:p>
    <w:p>
      <w:r>
        <w:rPr>
          <w:b/>
        </w:rPr>
        <w:t xml:space="preserve">TODO</w:t>
      </w:r>
      <w:r>
        <w:t xml:space="preserve"> </w:t>
      </w:r>
      <w:r>
        <w:t xml:space="preserve">Yep. Almost ready.</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112f97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