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df" ContentType="application/pdf"/>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 (Figure 2).</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3" w:name="acknowledgments"/>
      <w:bookmarkEnd w:id="33"/>
      <w:r>
        <w:t xml:space="preserve">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p>
    <w:p/>
    <w:p>
      <w:pPr>
        <w:pStyle w:val="Heading1"/>
      </w:pPr>
      <w:bookmarkStart w:id="34" w:name="figures"/>
      <w:bookmarkEnd w:id="34"/>
      <w:r>
        <w:t xml:space="preserve">Figures</w:t>
      </w:r>
    </w:p>
    <w:p>
      <w:pPr>
        <w:pStyle w:val="Heading2"/>
      </w:pPr>
      <w:bookmarkStart w:id="35" w:name="figure-1"/>
      <w:bookmarkEnd w:id="35"/>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6"/>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 cooperation to be the dominant phenotype in 13 of 18 replicate populations.</w:t>
      </w:r>
    </w:p>
    <w:p/>
    <w:p>
      <w:pPr>
        <w:pStyle w:val="Heading2"/>
      </w:pPr>
      <w:bookmarkStart w:id="37" w:name="figure-2"/>
      <w:bookmarkEnd w:id="37"/>
      <w:r>
        <w:t xml:space="preserve">Figure 2</w:t>
      </w:r>
    </w:p>
    <w:p>
      <w:r>
        <w:drawing>
          <wp:inline>
            <wp:extent cx="1524000" cy="1524000"/>
            <wp:effectExtent b="0" l="0" r="0" t="0"/>
            <wp:docPr descr="" id="1" name="Picture"/>
            <a:graphic>
              <a:graphicData uri="http://schemas.openxmlformats.org/drawingml/2006/picture">
                <pic:pic>
                  <pic:nvPicPr>
                    <pic:cNvPr descr="../figures/Figure2-edited.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 In these box plots, whiskers show range of data within 1.5 IQR.</w:t>
      </w:r>
    </w:p>
    <w:p/>
    <w:p>
      <w:pPr>
        <w:pStyle w:val="Heading2"/>
      </w:pPr>
      <w:bookmarkStart w:id="39" w:name="figure-3"/>
      <w:bookmarkEnd w:id="39"/>
      <w:r>
        <w:t xml:space="preserve">Figure 3</w:t>
      </w:r>
    </w:p>
    <w:p>
      <w:r>
        <w:drawing>
          <wp:inline>
            <wp:extent cx="5334000" cy="533400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1" w:name="figure-4"/>
      <w:bookmarkEnd w:id="41"/>
      <w:r>
        <w:t xml:space="preserve">Figure 4</w:t>
      </w:r>
    </w:p>
    <w:p>
      <w:r>
        <w:t xml:space="preserve">Cooperators invade defector population. Fully adapted but mismatched. Negative NC.</w:t>
      </w:r>
    </w:p>
    <w:p>
      <w:pPr>
        <w:pStyle w:val="Heading2"/>
      </w:pPr>
      <w:bookmarkStart w:id="42" w:name="figure-5"/>
      <w:bookmarkEnd w:id="42"/>
      <w:r>
        <w:t xml:space="preserve">Figure 5</w:t>
      </w:r>
    </w:p>
    <w:p>
      <w:r>
        <w:t xml:space="preserve">Defectors invade cooperator population. Fully adapted and matched. Role of Export.</w:t>
      </w:r>
    </w:p>
    <w:p>
      <w:pPr>
        <w:pStyle w:val="Heading2"/>
      </w:pPr>
      <w:bookmarkStart w:id="43" w:name="figure-6"/>
      <w:bookmarkEnd w:id="43"/>
      <w:r>
        <w:t xml:space="preserve">Figure 6</w:t>
      </w:r>
    </w:p>
    <w:p>
      <w:pPr>
        <w:pStyle w:val="Heading3"/>
      </w:pPr>
      <w:bookmarkStart w:id="44" w:name="figure-6a---effect-of-public-good-benefit-smax-smin"/>
      <w:bookmarkEnd w:id="4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ww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6" w:name="figure-6b---effect-of-migration-rate-m"/>
      <w:bookmarkEnd w:id="4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bdea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0594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df"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