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cooperation can be maintained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nature and frequency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pPr>
        <w:pStyle w:val="BodyText"/>
      </w:pPr>
      <w:r>
        <w:t xml:space="preserve">Here, we show that the selective feedbacks that result from niche construction can maintain cooperation indefinitely. Further, we find that it is specifically negative niche construction that is responsible for this result due to the endless opportunities for adaptation that it produces. These results suggest that by playing an active role in their own evolution, cooperators can ensure their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More successful lineages spread to neighboring subpopulations by migration.</w:t>
      </w:r>
    </w:p>
    <w:p>
      <w:pPr>
        <w:pStyle w:val="BodyText"/>
      </w:pPr>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(see</w:t>
      </w:r>
      <w:r>
        <w:t xml:space="preserve"> </w:t>
      </w:r>
      <w:hyperlink w:anchor="tables">
        <w:r>
          <w:rPr>
            <w:rStyle w:val="Hyperlink"/>
          </w:rPr>
          <w:t xml:space="preserve">Table 1</w:t>
        </w:r>
      </w:hyperlink>
      <w:r>
        <w:t xml:space="preserve"> </w:t>
      </w:r>
      <w:r>
        <w:t xml:space="preserve">for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w:t>
      </w:r>
      <w:r>
        <w:t xml:space="preserve"> </w:t>
      </w:r>
      <m:oMath>
        <m:r>
          <m:rPr/>
          <m:t>0</m:t>
        </m:r>
      </m:oMath>
      <w:r>
        <w:t xml:space="preserve"> </w:t>
      </w:r>
      <w:r>
        <w:t xml:space="preserve">or a value from the set</w:t>
      </w:r>
      <w:r>
        <w:t xml:space="preserve"> </w:t>
      </w:r>
      <m:oMath>
        <m:r>
          <m:rPr/>
          <m:t>{</m:t>
        </m:r>
        <m:r>
          <m:rPr/>
          <m:t>1</m:t>
        </m:r>
        <m:r>
          <m:rPr/>
          <m:t>,</m:t>
        </m:r>
        <m:r>
          <m:rPr/>
          <m:t>2</m:t>
        </m:r>
        <m:r>
          <m:rPr/>
          <m:t>,</m:t>
        </m:r>
        <m:r>
          <m:rPr/>
          <m:t>…</m:t>
        </m:r>
        <m:r>
          <m:rPr/>
          <m:t>,</m:t>
        </m:r>
        <m:r>
          <m:rPr/>
          <m:t>A</m:t>
        </m:r>
        <m:r>
          <m:rPr/>
          <m:t>}</m:t>
        </m:r>
      </m:oMath>
      <w:r>
        <w:t xml:space="preserve">. Allele</w:t>
      </w:r>
      <w:r>
        <w:t xml:space="preserve"> </w:t>
      </w:r>
      <m:oMath>
        <m:r>
          <m:rPr/>
          <m:t>0</m:t>
        </m:r>
      </m:oMath>
      <w:r>
        <w:t xml:space="preserve"> </w:t>
      </w:r>
      <w:r>
        <w:t xml:space="preserve">represents a lack of adaptation, while a non-zero allele represents one of the</w:t>
      </w:r>
      <w:r>
        <w:t xml:space="preserve"> </w:t>
      </w:r>
      <m:oMath>
        <m:r>
          <m:rPr/>
          <m:t>A</m:t>
        </m:r>
      </m:oMath>
      <w:r>
        <w:t xml:space="preserve"> </w:t>
      </w:r>
      <w:r>
        <w:t xml:space="preserve">possible adaptations at that locus.</w:t>
      </w:r>
    </w:p>
    <w:p>
      <w:pPr>
        <w:pStyle w:val="BodyText"/>
      </w:pPr>
      <w:r>
        <w:t xml:space="preserve">Non-zero alleles signify two types of adaptations, both of which increase fitness. First, adaptations to the external environment 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a genotype with allele</w:t>
      </w:r>
      <w:r>
        <w:t xml:space="preserve"> </w:t>
      </w:r>
      <m:oMath>
        <m:r>
          <m:rPr/>
          <m:t>5</m:t>
        </m:r>
      </m:oMath>
      <w:r>
        <w:t xml:space="preserve"> </w:t>
      </w:r>
      <w:r>
        <w:t xml:space="preserve">at locus</w:t>
      </w:r>
      <w:r>
        <w:t xml:space="preserve"> </w:t>
      </w:r>
      <m:oMath>
        <m:r>
          <m:rPr/>
          <m:t>3</m:t>
        </m:r>
      </m:oMath>
      <w:r>
        <w:t xml:space="preserve"> </w:t>
      </w:r>
      <w:r>
        <w:t xml:space="preserve">is favored. And as allele</w:t>
      </w:r>
      <w:r>
        <w:t xml:space="preserve"> </w:t>
      </w:r>
      <m:oMath>
        <m:r>
          <m:rPr/>
          <m:t>5</m:t>
        </m:r>
      </m:oMath>
      <w:r>
        <w:t xml:space="preserve"> </w:t>
      </w:r>
      <w:r>
        <w:t xml:space="preserve">fixes at locus</w:t>
      </w:r>
      <w:r>
        <w:t xml:space="preserve"> </w:t>
      </w:r>
      <m:oMath>
        <m:r>
          <m:rPr/>
          <m:t>3</m:t>
        </m:r>
      </m:oMath>
      <w:r>
        <w:t xml:space="preserve">, the niche that this population constructs will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is increased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Consider a genotype</w:t>
      </w:r>
      <w:r>
        <w:t xml:space="preserve"> </w:t>
      </w:r>
      <m:oMath>
        <m:r>
          <m:rPr/>
          <m:t>g</m:t>
        </m:r>
      </m:oMath>
      <w:r>
        <w:t xml:space="preserve"> </w:t>
      </w:r>
      <w:r>
        <w:t xml:space="preserve">with allelic state</w:t>
      </w:r>
      <w:r>
        <w:t xml:space="preserve"> </w:t>
      </w:r>
      <m:oMath>
        <m:sSub>
          <m:e>
            <m:r>
              <m:rPr/>
              <m:t>a</m:t>
            </m:r>
          </m:e>
          <m:sub>
            <m:r>
              <m:rPr/>
              <m:t>l</m:t>
            </m:r>
          </m:sub>
        </m:sSub>
      </m:oMath>
      <w:r>
        <w:t xml:space="preserve"> </w:t>
      </w:r>
      <w:r>
        <w:t xml:space="preserve">at locus</w:t>
      </w:r>
      <w:r>
        <w:t xml:space="preserve"> </w:t>
      </w:r>
      <m:oMath>
        <m:r>
          <m:rPr/>
          <m:t>l</m:t>
        </m:r>
      </m:oMath>
      <w:r>
        <w:t xml:space="preserve">; the fitness of an individual with this genotype is defined as:</w:t>
      </w:r>
    </w:p>
    <w:p>
      <w:pPr>
        <w:pStyle w:val="BodyText"/>
      </w:pPr>
      <m:oMathPara>
        <m:oMathParaPr>
          <m:jc m:val="center"/>
        </m:oMathParaPr>
        <m:oMath>
          <m:sSub>
            <m:e>
              <m:r>
                <m:rPr/>
                <m:t>W</m:t>
              </m:r>
            </m:e>
            <m:sub>
              <m:r>
                <m:rPr/>
                <m:t>g</m:t>
              </m:r>
            </m:sub>
          </m:sSub>
          <m:r>
            <m:rPr/>
            <m:t>=</m:t>
          </m:r>
          <m:r>
            <m:rPr/>
            <m:t>z</m:t>
          </m:r>
          <m:r>
            <m:rPr/>
            <m:t>−</m:t>
          </m:r>
          <m:limLow>
            <m:e>
              <m:limLow>
                <m:e>
                  <m:r>
                    <m:rPr/>
                    <m:t>c</m:t>
                  </m:r>
                  <m:sSub>
                    <m:e>
                      <m:r>
                        <m:rPr/>
                        <m:t>a</m:t>
                      </m:r>
                    </m:e>
                    <m:sub>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w:t>
      </w:r>
    </w:p>
    <w:p>
      <w:pPr>
        <w:pStyle w:val="Heading3"/>
      </w:pPr>
      <w:bookmarkStart w:id="28" w:name="subpopulation-growth-and-the-benefit-of-cooperation"/>
      <w:bookmarkEnd w:id="28"/>
      <w:r>
        <w:t xml:space="preserve">Subpopulation Growth and the Benefit of Cooperation</w:t>
      </w:r>
    </w:p>
    <w:p>
      <w:pPr>
        <w:pStyle w:val="FirstParagraph"/>
      </w:pPr>
      <w:r>
        <w:t xml:space="preserve">While cooperation is costly, its effects are independent of the external and constructed components of the environment. Cooperation enables a subpopulation to reach a greater density. This benefit affects all individuals equally and accumulates linearly with the proportion of cooperators in the subpopulation. If</w:t>
      </w:r>
      <w:r>
        <w:t xml:space="preserve"> </w:t>
      </w:r>
      <m:oMath>
        <m:r>
          <m:rPr/>
          <m:t>p</m:t>
        </m:r>
      </m:oMath>
      <w:r>
        <w:t xml:space="preserve"> </w:t>
      </w:r>
      <w:r>
        <w:t xml:space="preserve">is the proportion of cooperators present at the beginning of a growth cycle, then that subpopulation reaches the following size: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w:r>
        <w:t xml:space="preserve">During growth, individuals compete through differential reproduction. Each individual’s probability of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(using Equation 2).</w:t>
      </w:r>
    </w:p>
    <w:p>
      <w:pPr>
        <w:pStyle w:val="Heading3"/>
      </w:pPr>
      <w:bookmarkStart w:id="29" w:name="mutation"/>
      <w:bookmarkEnd w:id="29"/>
      <w:r>
        <w:t xml:space="preserve">Mutation</w:t>
      </w:r>
    </w:p>
    <w:p>
      <w:pPr>
        <w:pStyle w:val="FirstParagraph"/>
      </w:pPr>
      <w:r>
        <w:t xml:space="preserve">For simplicity, we apply mutations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1</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with probability</w:t>
      </w:r>
      <w:r>
        <w:t xml:space="preserve"> </w:t>
      </w:r>
      <m:oMath>
        <m:r>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size</w:t>
      </w:r>
      <w:r>
        <w:t xml:space="preserve"> </w:t>
      </w:r>
      <m:oMath>
        <m:r>
          <m:rPr/>
          <m:t>S</m:t>
        </m:r>
        <m:r>
          <m:rPr/>
          <m:t>(</m:t>
        </m:r>
        <m:sSub>
          <m:e>
            <m:r>
              <m:rPr/>
              <m:t>p</m:t>
            </m:r>
          </m:e>
          <m:sub>
            <m:r>
              <m:rPr/>
              <m:t>0</m:t>
            </m:r>
          </m:sub>
        </m:sSub>
        <m:r>
          <m:rPr/>
          <m:t>)</m:t>
        </m:r>
      </m:oMath>
      <w:r>
        <w:t xml:space="preserve"> </w:t>
      </w:r>
      <w:r>
        <w:t xml:space="preserve">and cooperator proportion</w:t>
      </w:r>
      <w:r>
        <w:t xml:space="preserve"> </w:t>
      </w:r>
      <m:oMath>
        <m:sSub>
          <m:e>
            <m:r>
              <m:rPr/>
              <m:t>p</m:t>
            </m:r>
          </m:e>
          <m:sub>
            <m:r>
              <m:rPr/>
              <m:t>0</m:t>
            </m:r>
          </m:sub>
        </m:sSub>
      </m:oMath>
      <w:r>
        <w:t xml:space="preserve">. The population is then thinned. Each individual survives this bottleneck with probability</w:t>
      </w:r>
      <w:r>
        <w:t xml:space="preserve"> </w:t>
      </w:r>
      <m:oMath>
        <m:r>
          <m:rPr/>
          <m:t>σ</m:t>
        </m:r>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As previously described by</w:t>
      </w:r>
      <w:r>
        <w:t xml:space="preserve"> </w:t>
      </w:r>
      <w:r>
        <w:t xml:space="preserve">Hammarlund</w:t>
      </w:r>
      <w:r>
        <w:t xml:space="preserve"> </w:t>
      </w:r>
      <w:r>
        <w:rPr>
          <w:i/>
        </w:rPr>
        <w:t xml:space="preserve">et al.</w:t>
      </w:r>
      <w:r>
        <w:t xml:space="preserve"> </w:t>
      </w:r>
      <w:r>
        <w:t xml:space="preserve">(2015)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have an allele that is not one less than the allele at the next locus (see</w:t>
      </w:r>
      <w:r>
        <w:t xml:space="preserve"> </w:t>
      </w:r>
      <w:hyperlink w:anchor="box1">
        <w:r>
          <w:rPr>
            <w:rStyle w:val="Hyperlink"/>
          </w:rPr>
          <w:t xml:space="preserve">Box 1</w:t>
        </w:r>
      </w:hyperlink>
      <w:r>
        <w:t xml:space="preserve">). Given this unavoidable mismatch, any type that has fixed will always construct a niche that favors selection for a different type.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 cooperators are again driven extinct after an initial lift in abundance (</w:t>
      </w:r>
      <w:hyperlink w:anchor="fig2">
        <w:r>
          <w:rPr>
            <w:rStyle w:val="Hyper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pPr>
        <w:pStyle w:val="FirstParagraph"/>
      </w:pPr>
      <w:r>
        <w:t xml:space="preserve">The adaptation resulting from selective feedbacks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isogenic defectors rapidly spread when introduced at a single patch in the center of a population of cooperators if mutations do not occur. However, cooperators resist defector invasion in over half of the replicate populations when adaptations can arise via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also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When mutations do not confer these adaptations, cooperators lose the adaptive race and are driven to extinction. This is something that we see occur stochastically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w:t>
      </w:r>
    </w:p>
    <w:p>
      <w:pPr>
        <w:pStyle w:val="Heading2"/>
      </w:pPr>
      <w:bookmarkStart w:id="39" w:name="cooperation-as-niche-construction"/>
      <w:bookmarkEnd w:id="39"/>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pPr>
        <w:pStyle w:val="FirstParagraph"/>
      </w:pPr>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of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3" w:name="box1"/>
      <w:bookmarkEnd w:id="43"/>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Pr>
        <w:pStyle w:val="BodyText"/>
      </w:pPr>
    </w:p>
    <w:p>
      <w:pPr>
        <w:pStyle w:val="Heading1"/>
      </w:pPr>
      <w:bookmarkStart w:id="44" w:name="figures"/>
      <w:bookmarkEnd w:id="44"/>
      <w:r>
        <w:t xml:space="preserve">Figures</w:t>
      </w:r>
    </w:p>
    <w:p>
      <w:pPr>
        <w:pStyle w:val="Heading2"/>
      </w:pPr>
      <w:bookmarkStart w:id="45" w:name="fig1"/>
      <w:bookmarkEnd w:id="45"/>
      <w:r>
        <w:t xml:space="preserve">Figure 1</w:t>
      </w:r>
    </w:p>
    <w:p>
      <w:pPr>
        <w:pStyle w:val="FigureWithCaption"/>
      </w:pPr>
      <w:r>
        <w:drawing>
          <wp:inline>
            <wp:extent cx="5334000" cy="533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t>ϵ</m:t>
        </m:r>
        <m:r>
          <m:rPr/>
          <m:t>=</m:t>
        </m:r>
        <m:r>
          <m:rPr/>
          <m:t>0.00015</m:t>
        </m:r>
      </m:oMath>
      <w:r>
        <w:t xml:space="preserve">) enables cooperation to be maintained indefinitely in the majority of populations. The trajectories of individual populations are shown in Figure 2A.</w:t>
      </w:r>
    </w:p>
    <w:p>
      <w:pPr>
        <w:pStyle w:val="BodyText"/>
      </w:pPr>
    </w:p>
    <w:p>
      <w:pPr>
        <w:pStyle w:val="Heading2"/>
      </w:pPr>
      <w:bookmarkStart w:id="47" w:name="fig2"/>
      <w:bookmarkEnd w:id="47"/>
      <w:r>
        <w:t xml:space="preserve">Figure 2</w:t>
      </w:r>
    </w:p>
    <w:p>
      <w:pPr>
        <w:pStyle w:val="FigureWithCaption"/>
      </w:pPr>
      <w:r>
        <w:drawing>
          <wp:inline>
            <wp:extent cx="5334000" cy="53340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49" w:name="fig3"/>
      <w:bookmarkEnd w:id="49"/>
      <w:r>
        <w:t xml:space="preserve">Figure 3</w:t>
      </w:r>
    </w:p>
    <w:p>
      <w:pPr>
        <w:pStyle w:val="FigureWithCaption"/>
      </w:pPr>
      <w:r>
        <w:drawing>
          <wp:inline>
            <wp:extent cx="5334000" cy="5334000"/>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1" w:name="fig4"/>
      <w:bookmarkEnd w:id="51"/>
      <w:r>
        <w:t xml:space="preserve">Figure 4</w:t>
      </w:r>
    </w:p>
    <w:p>
      <w:pPr>
        <w:pStyle w:val="FigureWithCaption"/>
      </w:pPr>
      <w:r>
        <w:drawing>
          <wp:inline>
            <wp:extent cx="5334000" cy="5334000"/>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among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due to negative niche construction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1"/>
      </w:pPr>
      <w:bookmarkStart w:id="53" w:name="box-1-figures"/>
      <w:bookmarkEnd w:id="53"/>
      <w:r>
        <w:t xml:space="preserve">Box 1 Figures</w:t>
      </w:r>
    </w:p>
    <w:p>
      <w:pPr>
        <w:pStyle w:val="FirstParagraph"/>
      </w:pPr>
    </w:p>
    <w:p>
      <w:pPr>
        <w:pStyle w:val="Heading2"/>
      </w:pPr>
      <w:bookmarkStart w:id="54" w:name="figB1"/>
      <w:bookmarkEnd w:id="54"/>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56" w:name="supplemental-figures"/>
      <w:bookmarkEnd w:id="56"/>
      <w:r>
        <w:t xml:space="preserve">Supplemental Figures</w:t>
      </w:r>
    </w:p>
    <w:p>
      <w:pPr>
        <w:pStyle w:val="FirstParagraph"/>
      </w:pPr>
    </w:p>
    <w:p>
      <w:pPr>
        <w:pStyle w:val="Heading2"/>
      </w:pPr>
      <w:bookmarkStart w:id="57" w:name="figS1"/>
      <w:bookmarkEnd w:id="57"/>
      <w:r>
        <w:t xml:space="preserve">Figure S1</w:t>
      </w:r>
    </w:p>
    <w:p>
      <w:pPr>
        <w:pStyle w:val="FigureWithCaption"/>
      </w:pPr>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t>T</m:t>
        </m:r>
        <m:r>
          <m:rPr/>
          <m:t>=</m:t>
        </m:r>
        <m:r>
          <m:rPr/>
          <m:t>1000</m:t>
        </m:r>
      </m:oMath>
      <w:r>
        <w:t xml:space="preserve">). When mutations occur both at the adaptive loci and the cooperation locus (</w:t>
      </w:r>
      <m:oMath>
        <m:sSub>
          <m:e>
            <m:r>
              <m:rPr/>
              <m:t>μ</m:t>
            </m:r>
          </m:e>
          <m:sub>
            <m:r>
              <m:rPr/>
              <m:t>a</m:t>
            </m:r>
          </m:sub>
        </m:sSub>
        <m:r>
          <m:rPr/>
          <m:t>=</m:t>
        </m:r>
        <m:sSub>
          <m:e>
            <m:r>
              <m:rPr/>
              <m:t>μ</m:t>
            </m:r>
          </m:e>
          <m:sub>
            <m:r>
              <m:rPr/>
              <m:t>c</m:t>
            </m:r>
          </m:sub>
        </m:sSub>
        <m:r>
          <m:rPr/>
          <m:t>=</m:t>
        </m:r>
        <m:r>
          <m:rPr/>
          <m:t>0.00005</m:t>
        </m:r>
      </m:oMath>
      <w:r>
        <w:t xml:space="preserve">), cooperation remains dominant in 58 of 160 replicate populations.</w:t>
      </w:r>
    </w:p>
    <w:p>
      <w:pPr>
        <w:pStyle w:val="BodyText"/>
      </w:pPr>
    </w:p>
    <w:p>
      <w:pPr>
        <w:pStyle w:val="BodyText"/>
      </w:pPr>
    </w:p>
    <w:p>
      <w:pPr>
        <w:pStyle w:val="Heading1"/>
      </w:pPr>
      <w:bookmarkStart w:id="59" w:name="tables"/>
      <w:bookmarkEnd w:id="59"/>
      <w:r>
        <w:t xml:space="preserve">Tables</w:t>
      </w: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t>c</m:t>
              </m:r>
            </m:oMath>
          </w:p>
        </w:tc>
        <w:tc>
          <w:p>
            <w:pPr>
              <w:pStyle w:val="Compact"/>
              <w:jc w:val="left"/>
            </w:pPr>
            <w:r>
              <w:t xml:space="preserve">Cost of cooperation</w:t>
            </w:r>
          </w:p>
        </w:tc>
        <w:tc>
          <w:p>
            <w:pPr>
              <w:pStyle w:val="Compact"/>
              <w:jc w:val="righ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right"/>
            </w:pPr>
            <w:r>
              <w:t xml:space="preserve">0.3</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right"/>
            </w:pPr>
            <w:r>
              <w:t xml:space="preserve">0.00015</w:t>
            </w:r>
          </w:p>
        </w:tc>
      </w:tr>
      <w:tr>
        <w:tc>
          <w:p>
            <w:pPr>
              <w:pStyle w:val="Compact"/>
              <w:jc w:val="left"/>
            </w:pPr>
            <m:oMath>
              <m:r>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right"/>
            </w:pPr>
            <m:oMath>
              <m:sSup>
                <m:e>
                  <m:r>
                    <m:rPr/>
                    <m:t>10</m:t>
                  </m:r>
                </m:e>
                <m:sup>
                  <m:r>
                    <m:rPr/>
                    <m:t>−</m:t>
                  </m:r>
                  <m:r>
                    <m:rPr/>
                    <m:t>5</m:t>
                  </m:r>
                </m:sup>
              </m:sSup>
            </m:oMath>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right"/>
            </w:pPr>
            <m:oMath>
              <m:sSup>
                <m:e>
                  <m:r>
                    <m:rPr/>
                    <m:t>10</m:t>
                  </m:r>
                </m:e>
                <m:sup>
                  <m:r>
                    <m:rPr/>
                    <m:t>−</m:t>
                  </m:r>
                  <m:r>
                    <m:rPr/>
                    <m:t>5</m:t>
                  </m:r>
                </m:sup>
              </m:sSup>
            </m:oMath>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t>σ</m:t>
              </m:r>
            </m:oMath>
          </w:p>
        </w:tc>
        <w:tc>
          <w:p>
            <w:pPr>
              <w:pStyle w:val="Compact"/>
              <w:jc w:val="left"/>
            </w:pPr>
            <w:r>
              <w:t xml:space="preserve">Survival rate at population initialization</w:t>
            </w:r>
          </w:p>
        </w:tc>
        <w:tc>
          <w:p>
            <w:pPr>
              <w:pStyle w:val="Compact"/>
              <w:jc w:val="right"/>
            </w:pPr>
            <m:oMath>
              <m:sSup>
                <m:e>
                  <m:r>
                    <m:rPr/>
                    <m:t>10</m:t>
                  </m:r>
                </m:e>
                <m:sup>
                  <m:r>
                    <m:rPr/>
                    <m:t>−</m:t>
                  </m:r>
                  <m:r>
                    <m:rPr/>
                    <m:t>5</m:t>
                  </m:r>
                </m:sup>
              </m:sSup>
            </m:oMath>
          </w:p>
        </w:tc>
      </w:tr>
      <w:tr>
        <w:tc>
          <w:p>
            <w:pPr>
              <w:pStyle w:val="Compact"/>
              <w:jc w:val="left"/>
            </w:pPr>
            <m:oMath>
              <m:r>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t>d</m:t>
              </m:r>
            </m:oMath>
          </w:p>
        </w:tc>
        <w:tc>
          <w:p>
            <w:pPr>
              <w:pStyle w:val="Compact"/>
              <w:jc w:val="left"/>
            </w:pPr>
            <w:r>
              <w:t xml:space="preserve">Subpopulation dilution factor</w:t>
            </w:r>
          </w:p>
        </w:tc>
        <w:tc>
          <w:p>
            <w:pPr>
              <w:pStyle w:val="Compact"/>
              <w:jc w:val="right"/>
            </w:pPr>
            <w:r>
              <w:t xml:space="preserve">0.1</w:t>
            </w:r>
          </w:p>
        </w:tc>
      </w:tr>
    </w:tbl>
    <w:p>
      <w:pPr>
        <w:pStyle w:val="Heading2"/>
      </w:pPr>
      <w:bookmarkStart w:id="60" w:name="version-2"/>
      <w:bookmarkEnd w:id="60"/>
      <w:r>
        <w:t xml:space="preserve">Version 2</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Base Value</w:t>
            </w:r>
          </w:p>
        </w:tc>
        <w:tc>
          <w:tcPr>
            <w:tcBorders>
              <w:bottom w:val="single"/>
            </w:tcBorders>
            <w:vAlign w:val="bottom"/>
          </w:tcPr>
          <w:p>
            <w:pPr>
              <w:pStyle w:val="Compact"/>
              <w:jc w:val="left"/>
            </w:pPr>
            <w:r>
              <w:t xml:space="preserve">Values Used</w:t>
            </w:r>
          </w:p>
        </w:tc>
      </w:tr>
      <w:tr>
        <w:tc>
          <w:p>
            <w:pPr>
              <w:pStyle w:val="Compact"/>
              <w:jc w:val="left"/>
            </w:pPr>
            <m:oMath>
              <m:r>
                <m:rPr/>
                <m:t>L</m:t>
              </m:r>
            </m:oMath>
          </w:p>
        </w:tc>
        <w:tc>
          <w:p>
            <w:pPr>
              <w:pStyle w:val="Compact"/>
              <w:jc w:val="left"/>
            </w:pPr>
            <w:r>
              <w:t xml:space="preserve">Number of adaptive loci</w:t>
            </w:r>
          </w:p>
        </w:tc>
        <w:tc>
          <w:p>
            <w:pPr>
              <w:pStyle w:val="Compact"/>
              <w:jc w:val="left"/>
            </w:pPr>
            <w:r>
              <w:t xml:space="preserve">5</w:t>
            </w:r>
          </w:p>
        </w:tc>
        <w:tc>
          <w:p>
            <w:pPr>
              <w:pStyle w:val="Compact"/>
              <w:jc w:val="left"/>
            </w:pPr>
            <w:r>
              <w:t xml:space="preserve">0,40</w:t>
            </w:r>
          </w:p>
        </w:tc>
      </w:tr>
      <w:tr>
        <w:tc>
          <w:p>
            <w:pPr>
              <w:pStyle w:val="Compact"/>
              <w:jc w:val="left"/>
            </w:pPr>
            <m:oMath>
              <m:r>
                <m:rPr/>
                <m:t>c</m:t>
              </m:r>
            </m:oMath>
          </w:p>
        </w:tc>
        <w:tc>
          <w:p>
            <w:pPr>
              <w:pStyle w:val="Compact"/>
              <w:jc w:val="left"/>
            </w:pPr>
            <w:r>
              <w:t xml:space="preserve">Cost of cooperation</w:t>
            </w:r>
          </w:p>
        </w:tc>
        <w:tc>
          <w:p>
            <w:pPr>
              <w:pStyle w:val="Compact"/>
              <w:jc w:val="left"/>
            </w:pPr>
            <w:r>
              <w:t xml:space="preserve">0.1</w:t>
            </w:r>
          </w:p>
        </w:tc>
        <w:tc>
          <w:p>
            <w:pPr>
              <w:pStyle w:val="Compact"/>
              <w:jc w:val="lef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left"/>
            </w:pPr>
            <w:r>
              <w:t xml:space="preserve">6</w:t>
            </w:r>
          </w:p>
        </w:tc>
        <w:tc>
          <w:p>
            <w:pPr>
              <w:pStyle w:val="Compact"/>
              <w:jc w:val="left"/>
            </w:pPr>
            <w:r>
              <w:t xml:space="preserve">5, 6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left"/>
            </w:pPr>
            <w:r>
              <w:t xml:space="preserve">0.3</w:t>
            </w:r>
          </w:p>
        </w:tc>
        <w:tc>
          <w:p>
            <w:pPr>
              <w:pStyle w:val="Compact"/>
              <w:jc w:val="left"/>
            </w:pPr>
            <w:r>
              <w:t xml:space="preserve">0.3</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left"/>
            </w:pPr>
            <w:r>
              <w:t xml:space="preserve">0.00015</w:t>
            </w:r>
          </w:p>
        </w:tc>
        <w:tc>
          <w:p>
            <w:pPr>
              <w:pStyle w:val="Compact"/>
              <w:jc w:val="left"/>
            </w:pPr>
            <w:r>
              <w:t xml:space="preserve">TODO</w:t>
            </w:r>
          </w:p>
        </w:tc>
      </w:tr>
      <w:tr>
        <w:tc>
          <w:p>
            <w:pPr>
              <w:pStyle w:val="Compact"/>
              <w:jc w:val="left"/>
            </w:pPr>
            <m:oMath>
              <m:r>
                <m:rPr/>
                <m:t>z</m:t>
              </m:r>
            </m:oMath>
          </w:p>
        </w:tc>
        <w:tc>
          <w:p>
            <w:pPr>
              <w:pStyle w:val="Compact"/>
              <w:jc w:val="left"/>
            </w:pPr>
            <w:r>
              <w:t xml:space="preserve">Baseline fitness</w:t>
            </w:r>
          </w:p>
        </w:tc>
        <w:tc>
          <w:p>
            <w:pPr>
              <w:pStyle w:val="Compact"/>
              <w:jc w:val="left"/>
            </w:pPr>
            <w:r>
              <w:t xml:space="preserve">1</w:t>
            </w:r>
          </w:p>
        </w:tc>
        <w:tc>
          <w:p>
            <w:pPr>
              <w:pStyle w:val="Compact"/>
              <w:jc w:val="left"/>
            </w:pPr>
            <w:r>
              <w:t xml:space="preserve">TODO</w:t>
            </w:r>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left"/>
            </w:pPr>
            <w:r>
              <w:t xml:space="preserve">800</w:t>
            </w:r>
          </w:p>
        </w:tc>
        <w:tc>
          <w:p>
            <w:pPr>
              <w:pStyle w:val="Compact"/>
              <w:jc w:val="left"/>
            </w:pPr>
            <w:r>
              <w:t xml:space="preserve">TODO</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left"/>
            </w:pPr>
            <w:r>
              <w:t xml:space="preserve">2000</w:t>
            </w:r>
          </w:p>
        </w:tc>
        <w:tc>
          <w:p>
            <w:pPr>
              <w:pStyle w:val="Compact"/>
              <w:jc w:val="left"/>
            </w:pPr>
            <w:r>
              <w:t xml:space="preserve">TODO</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left"/>
            </w:pPr>
            <m:oMath>
              <m:sSup>
                <m:e>
                  <m:r>
                    <m:rPr/>
                    <m:t>10</m:t>
                  </m:r>
                </m:e>
                <m:sup>
                  <m:r>
                    <m:rPr/>
                    <m:t>−</m:t>
                  </m:r>
                  <m:r>
                    <m:rPr/>
                    <m:t>5</m:t>
                  </m:r>
                </m:sup>
              </m:sSup>
            </m:oMath>
          </w:p>
        </w:tc>
        <w:tc>
          <w:p>
            <w:pPr>
              <w:pStyle w:val="Compact"/>
              <w:jc w:val="left"/>
            </w:pPr>
            <m:oMath>
              <m:sSup>
                <m:e>
                  <m:r>
                    <m:rPr/>
                    <m:t>10</m:t>
                  </m:r>
                </m:e>
                <m:sup>
                  <m:r>
                    <m:rPr/>
                    <m:t>−</m:t>
                  </m:r>
                  <m:r>
                    <m:rPr/>
                    <m:t>5</m:t>
                  </m:r>
                </m:sup>
              </m:sSup>
            </m:oMath>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left"/>
            </w:pPr>
            <m:oMath>
              <m:sSup>
                <m:e>
                  <m:r>
                    <m:rPr/>
                    <m:t>10</m:t>
                  </m:r>
                </m:e>
                <m:sup>
                  <m:r>
                    <m:rPr/>
                    <m:t>−</m:t>
                  </m:r>
                  <m:r>
                    <m:rPr/>
                    <m:t>5</m:t>
                  </m:r>
                </m:sup>
              </m:sSup>
            </m:oMath>
          </w:p>
        </w:tc>
        <w:tc>
          <w:p>
            <w:pPr>
              <w:pStyle w:val="Compact"/>
              <w:jc w:val="left"/>
            </w:pPr>
            <m:oMath>
              <m:sSup>
                <m:e>
                  <m:r>
                    <m:rPr/>
                    <m:t>10</m:t>
                  </m:r>
                </m:e>
                <m:sup>
                  <m:r>
                    <m:rPr/>
                    <m:t>−</m:t>
                  </m:r>
                  <m:r>
                    <m:rPr/>
                    <m:t>5</m:t>
                  </m:r>
                </m:sup>
              </m:sSup>
            </m:oMath>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left"/>
            </w:pPr>
            <w:r>
              <w:t xml:space="preserve">625</w:t>
            </w:r>
          </w:p>
        </w:tc>
        <w:tc>
          <w:p>
            <w:pPr>
              <w:pStyle w:val="Compact"/>
              <w:jc w:val="lef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left"/>
            </w:pPr>
            <w:r>
              <w:t xml:space="preserve">0.05</w:t>
            </w:r>
          </w:p>
        </w:tc>
        <w:tc>
          <w:p>
            <w:pPr>
              <w:pStyle w:val="Compact"/>
              <w:jc w:val="left"/>
            </w:pPr>
            <w:r>
              <w:t xml:space="preserve">TODO</w:t>
            </w:r>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left"/>
            </w:pPr>
            <w:r>
              <w:t xml:space="preserve">0.5</w:t>
            </w:r>
          </w:p>
        </w:tc>
        <w:tc>
          <w:p>
            <w:pPr>
              <w:pStyle w:val="Compact"/>
              <w:jc w:val="left"/>
            </w:pPr>
            <w:r>
              <w:t xml:space="preserve">TODO</w:t>
            </w:r>
          </w:p>
        </w:tc>
      </w:tr>
      <w:tr>
        <w:tc>
          <w:p>
            <w:pPr>
              <w:pStyle w:val="Compact"/>
              <w:jc w:val="left"/>
            </w:pPr>
            <m:oMath>
              <m:r>
                <m:rPr/>
                <m:t>σ</m:t>
              </m:r>
            </m:oMath>
          </w:p>
        </w:tc>
        <w:tc>
          <w:p>
            <w:pPr>
              <w:pStyle w:val="Compact"/>
              <w:jc w:val="left"/>
            </w:pPr>
            <w:r>
              <w:t xml:space="preserve">Survival rate at population initialization</w:t>
            </w:r>
          </w:p>
        </w:tc>
        <w:tc>
          <w:p>
            <w:pPr>
              <w:pStyle w:val="Compact"/>
              <w:jc w:val="left"/>
            </w:pPr>
            <m:oMath>
              <m:sSup>
                <m:e>
                  <m:r>
                    <m:rPr/>
                    <m:t>10</m:t>
                  </m:r>
                </m:e>
                <m:sup>
                  <m:r>
                    <m:rPr/>
                    <m:t>−</m:t>
                  </m:r>
                  <m:r>
                    <m:rPr/>
                    <m:t>5</m:t>
                  </m:r>
                </m:sup>
              </m:sSup>
            </m:oMath>
          </w:p>
        </w:tc>
        <w:tc>
          <w:p>
            <w:pPr>
              <w:pStyle w:val="Compact"/>
              <w:jc w:val="left"/>
            </w:pPr>
            <w:r>
              <w:t xml:space="preserve">TODO</w:t>
            </w:r>
          </w:p>
        </w:tc>
      </w:tr>
      <w:tr>
        <w:tc>
          <w:p>
            <w:pPr>
              <w:pStyle w:val="Compact"/>
              <w:jc w:val="left"/>
            </w:pPr>
            <m:oMath>
              <m:r>
                <m:rPr/>
                <m:t>T</m:t>
              </m:r>
            </m:oMath>
          </w:p>
        </w:tc>
        <w:tc>
          <w:p>
            <w:pPr>
              <w:pStyle w:val="Compact"/>
              <w:jc w:val="left"/>
            </w:pPr>
            <w:r>
              <w:t xml:space="preserve">Number of simulation cycles</w:t>
            </w:r>
          </w:p>
        </w:tc>
        <w:tc>
          <w:p>
            <w:pPr>
              <w:pStyle w:val="Compact"/>
              <w:jc w:val="left"/>
            </w:pPr>
            <w:r>
              <w:t xml:space="preserve">3000</w:t>
            </w:r>
          </w:p>
        </w:tc>
        <w:tc>
          <w:p>
            <w:pPr>
              <w:pStyle w:val="Compact"/>
              <w:jc w:val="left"/>
            </w:pPr>
            <w:r>
              <w:t xml:space="preserve">TODO</w:t>
            </w:r>
          </w:p>
        </w:tc>
      </w:tr>
      <w:tr>
        <w:tc>
          <w:p>
            <w:pPr>
              <w:pStyle w:val="Compact"/>
              <w:jc w:val="left"/>
            </w:pPr>
            <m:oMath>
              <m:r>
                <m:rPr/>
                <m:t>d</m:t>
              </m:r>
            </m:oMath>
          </w:p>
        </w:tc>
        <w:tc>
          <w:p>
            <w:pPr>
              <w:pStyle w:val="Compact"/>
              <w:jc w:val="left"/>
            </w:pPr>
            <w:r>
              <w:t xml:space="preserve">Subpopulation dilution factor</w:t>
            </w:r>
          </w:p>
        </w:tc>
        <w:tc>
          <w:p>
            <w:pPr>
              <w:pStyle w:val="Compact"/>
              <w:jc w:val="left"/>
            </w:pPr>
            <w:r>
              <w:t xml:space="preserve">0.1</w:t>
            </w:r>
          </w:p>
        </w:tc>
        <w:tc>
          <w:p>
            <w:pPr>
              <w:pStyle w:val="Compact"/>
              <w:jc w:val="left"/>
            </w:pPr>
            <w:r>
              <w:t xml:space="preserve">TODO</w:t>
            </w:r>
          </w:p>
        </w:tc>
      </w:tr>
    </w:tbl>
    <w:p>
      <w:pPr>
        <w:pStyle w:val="BodyText"/>
      </w:pPr>
    </w:p>
    <w:p>
      <w:pPr>
        <w:pStyle w:val="Heading1"/>
      </w:pPr>
      <w:bookmarkStart w:id="61" w:name="references"/>
      <w:bookmarkEnd w:id="6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62">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63">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eae9d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