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 presence of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These alleles represent adaptations to the environment, and the number of loci determines the number of adaptations that are possible. All non-zero alleles confer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(and the first adaptive locus is affected by the last). The slope of this increase is</w:t>
      </w:r>
      <w:r>
        <w:t xml:space="preserve"> </w:t>
      </w:r>
      <m:oMath>
        <m:r>
          <m:rPr>
            <m:sty m:val="p"/>
          </m:rPr>
          <m:t>ϵ</m:t>
        </m:r>
      </m:oMath>
      <w:r>
        <w:t xml:space="preserve">, which specifies the intensity of niche construction. As a consequence of this form of frequency dependence, genotypes with sequentially 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r>
          <m:rPr>
            <m:sty m:val="p"/>
          </m:rPr>
          <m:t>c</m:t>
        </m:r>
      </m:oMath>
      <w:r>
        <w:t xml:space="preserve"> </w:t>
      </w:r>
      <w:r>
        <w:t xml:space="preserve">is the cost of the cooperative allele,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the onset of an environmental stress.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stress,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w:t>
      </w:r>
    </w:p>
    <w:p>
      <w:r>
        <w:t xml:space="preserve">Niche construction and selective feedbacks Niche construction and other social interactions</w:t>
      </w:r>
    </w:p>
    <w:p>
      <w:pPr>
        <w:pStyle w:val="Heading2"/>
      </w:pPr>
      <w:bookmarkStart w:id="27" w:name="public-goods"/>
      <w:bookmarkEnd w:id="27"/>
      <w:r>
        <w:t xml:space="preserve">Public Goods</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28" w:name="primacyrecency"/>
      <w:bookmarkEnd w:id="2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29" w:name="cooperative-niche-construction"/>
      <w:bookmarkEnd w:id="2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0" w:name="host-symbiont"/>
      <w:bookmarkEnd w:id="3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1" w:name="acknowledgments"/>
      <w:bookmarkEnd w:id="31"/>
      <w:r>
        <w:t xml:space="preserve">Acknowledgments</w:t>
      </w:r>
    </w:p>
    <w:p>
      <w:pPr>
        <w:pStyle w:val="Compact"/>
        <w:numPr>
          <w:numId w:val="1004"/>
          <w:ilvl w:val="0"/>
        </w:numPr>
      </w:pPr>
      <w:r>
        <w:t xml:space="preserve">TODO: Organizers?</w:t>
      </w:r>
    </w:p>
    <w:p>
      <w:pPr>
        <w:pStyle w:val="Compact"/>
        <w:numPr>
          <w:numId w:val="1004"/>
          <w:ilvl w:val="0"/>
        </w:numPr>
      </w:pPr>
      <w:r>
        <w:t xml:space="preserve">TODO: Anu</w:t>
      </w:r>
    </w:p>
    <w:p>
      <w:r>
        <w:t xml:space="preserve">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2" w:name="figures"/>
      <w:bookmarkEnd w:id="32"/>
      <w:r>
        <w:t xml:space="preserve">Figures</w:t>
      </w:r>
    </w:p>
    <w:p/>
    <w:p>
      <w:pPr>
        <w:pStyle w:val="Heading1"/>
      </w:pPr>
      <w:bookmarkStart w:id="33" w:name="tables"/>
      <w:bookmarkEnd w:id="33"/>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34" w:name="references"/>
      <w:bookmarkEnd w:id="34"/>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5">
        <w:r>
          <w:rPr>
            <w:rStyle w:val="Link"/>
          </w:rPr>
          <w:t xml:space="preserve">10.1038/ismej.2014.259</w:t>
        </w:r>
      </w:hyperlink>
      <w:r>
        <w:t xml:space="preserve">.</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36">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1313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e6ef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