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Further, we show that cooperator success depends specifically on negative niche construction. Here, negative niche construction acts as a perpetual source of adaptive opportunities. As populations adapt, they alter their environment in ways that reveal additional opportunities for adaptation. Despite being independent of niche construction in our model, cooperation feeds this cycle. We show that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passively experience changing environments.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suggest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Several aspects of this model are illustrated in</w:t>
      </w:r>
      <w:r>
        <w:t xml:space="preserve"> </w:t>
      </w:r>
      <w:hyperlink w:anchor="box1">
        <w:r>
          <w:rPr>
            <w:rStyle w:val="Link"/>
          </w:rPr>
          <w:t xml:space="preserve">Box 1</w:t>
        </w:r>
      </w:hyperlink>
      <w:r>
        <w:t xml:space="preserve">. We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w:t>
      </w:r>
      <w:r>
        <w:t xml:space="preserve"> </w:t>
      </w:r>
      <w:r>
        <w:rPr>
          <w:i/>
        </w:rPr>
        <w:t xml:space="preserve">cooperation locus</w:t>
      </w:r>
      <w:r>
        <w:t xml:space="preserve"> </w:t>
      </w:r>
      <w:r>
        <w:t xml:space="preserve">(locus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implicitly represent this constructed</w:t>
      </w:r>
      <w:r>
        <w:t xml:space="preserve"> </w:t>
      </w:r>
      <w:r>
        <w:t xml:space="preserve">“</w:t>
      </w:r>
      <w:r>
        <w:t xml:space="preserve">niche</w:t>
      </w:r>
      <w:r>
        <w:t xml:space="preserve">”</w:t>
      </w:r>
      <w:r>
        <w:t xml:space="preserve"> </w:t>
      </w:r>
      <w:r>
        <w:t xml:space="preserve">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constructed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if</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then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as allele</w:t>
      </w:r>
      <w:r>
        <w:t xml:space="preserve"> </w:t>
      </w:r>
      <m:oMath>
        <m:r>
          <m:rPr>
            <m:sty m:val="p"/>
          </m:rPr>
          <m:t>5</m:t>
        </m:r>
      </m:oMath>
      <w:r>
        <w:t xml:space="preserve"> </w:t>
      </w:r>
      <w:r>
        <w:t xml:space="preserve">fixes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w:t>
      </w:r>
      <w:r>
        <w:t xml:space="preserve"> </w:t>
      </w:r>
      <w:hyperlink w:anchor="box1">
        <w:r>
          <w:rPr>
            <w:rStyle w:val="Link"/>
          </w:rPr>
          <w:t xml:space="preserve">Box 1</w:t>
        </w:r>
      </w:hyperlink>
      <w:r>
        <w:t xml:space="preserve">).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7" w:name="subpopulation-growth-and-the-benefit-of-cooperation"/>
      <w:bookmarkEnd w:id="27"/>
      <w:r>
        <w:t xml:space="preserve">Subpopulation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the reproductive fitness of individual</w:t>
      </w:r>
      <w:r>
        <w:t xml:space="preserve"> </w:t>
      </w:r>
      <m:oMath>
        <m:r>
          <m:rPr>
            <m:sty m:val="p"/>
          </m:rPr>
          <m:t>i</m:t>
        </m:r>
      </m:oMath>
      <w:r>
        <w:t xml:space="preserve"> </w:t>
      </w:r>
      <w:r>
        <w:t xml:space="preserve">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value randomly sampled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from populations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&gt;</m:t>
        </m:r>
        <m:r>
          <m:rPr>
            <m:sty m:val="p"/>
          </m:rPr>
          <m:t>0</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Adaptations to both the external environment and the constructed environment contribute to an individual’s fitness in this model. To determine whether cooperation is maintained solely due to the larger selective values that result from the contributions of niche construction, we performed simulations in which these contributions were removed (</w:t>
      </w:r>
      <m:oMath>
        <m:r>
          <m:rPr>
            <m:sty m:val="p"/>
          </m:rPr>
          <m:t>ϵ</m:t>
        </m:r>
        <m:r>
          <m:rPr>
            <m:sty m:val="p"/>
          </m:rPr>
          <m:t>=</m:t>
        </m:r>
        <m:r>
          <m:rPr>
            <m:sty m:val="p"/>
          </m:rPr>
          <m:t>0</m:t>
        </m:r>
      </m:oMath>
      <w:r>
        <w:t xml:space="preserve">).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will will have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migration from neighboring patches or through mutation at the cooperation locus.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type—and therefore the defector—constructed.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 Importantly, this cooperator type is adapted to the niche constructed by the defector.</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follow from negative niche construction. By gaining adaptations more quickly, cooperators resist invasion by defectors (</w:t>
      </w:r>
      <w:hyperlink w:anchor="fig3">
        <w:r>
          <w:rPr>
            <w:rStyle w:val="Link"/>
          </w:rPr>
          <w:t xml:space="preserve">Figure 3B</w:t>
        </w:r>
      </w:hyperlink>
      <w:r>
        <w:t xml:space="preserve">). Even in the presence of an equally-adapted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mutations do not confer these adaptations, cooperators lose the adaptive race and are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niche construction and adaptation are independent of cooperation, which allows us to focus on hitchhiking. However, by increasing the size of the subpopulation, this form of cooperation can itself be seen as a kind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 First, such changes in timescale would affect the selective values of alleles as the subpopulation changed. Changes in timescale would also influence whether or not subpopulations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In order to study how regulatory traits such as these evolve, we could instead represent the niche explicitly, allowing it to have its own dynamics.</w:t>
      </w:r>
    </w:p>
    <w:p>
      <w:pPr>
        <w:pStyle w:val="Heading2"/>
      </w:pPr>
      <w:bookmarkStart w:id="41" w:name="cooperation-and-niche-construction-in-host-symbiont-co-evolution"/>
      <w:bookmarkEnd w:id="41"/>
      <w:r>
        <w:t xml:space="preserve">Cooperation and Niche Construction in Host-Symbiont Co-Evolution</w:t>
      </w:r>
    </w:p>
    <w:p>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 biological entity. As the host population changes, either in response to symbiont cooperation or other factors,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 In our model, each patch could become hosts with their own genotypes, and death and reproduction at the host level could be defined in ways that are sensitive to both host and symbiont genotypes. Such a model could be used to explore the evolution of cooperation in host-symbiont systems, where cooperation among symbionts affects host fitness.</w:t>
      </w:r>
    </w:p>
    <w:p>
      <w:r>
        <w:t xml:space="preserve">For example, the cooperative production of virulence factors by the human pathogen</w:t>
      </w:r>
      <w:r>
        <w:t xml:space="preserve"> </w:t>
      </w:r>
      <w:r>
        <w:rPr>
          <w:i/>
        </w:rPr>
        <w:t xml:space="preserve">P. aeruginosa</w:t>
      </w:r>
      <w:r>
        <w:t xml:space="preserve"> </w:t>
      </w:r>
      <w:r>
        <w:t xml:space="preserve">is harmful to hosts with cystic fibrosis</w:t>
      </w:r>
      <w:r>
        <w:t xml:space="preserve"> </w:t>
      </w:r>
      <w:r>
        <w:t xml:space="preserve">(Harrison, 2007)</w:t>
      </w:r>
      <w:r>
        <w:t xml:space="preserve">. Following what we have shown in this work, these antagonistic, negative niche constructing behaviors may work to maintain these infections. If these populations do indeed benefit from adaptations that are created by niche construction, a case could perhaps be made for developing treatments that target the selective feedback loop that provides adaptive opportunities in these spatial environments. While the idea of removing negative selective feedbacks and supporting stability may seem counterintuitive, if it leaves the infecting population more susceptible, then perhaps pairing such a treatment with the introduction of defector mutants (see e.g.,</w:t>
      </w:r>
      <w:r>
        <w:t xml:space="preserve"> </w:t>
      </w:r>
      <w:r>
        <w:t xml:space="preserve">Rumbaugh et al. (2009)</w:t>
      </w:r>
      <w:r>
        <w:t xml:space="preserve">), could significantly improve host fitness. Expanding models such as ours to address the additional dynamics present in host-symbiont systems such as these could offer important new perspectives.</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box1"/>
      <w:bookmarkEnd w:id="43"/>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 0), this individual has allele 1, making it a cooperator. The adaptive loci (labeled 1-5)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 1.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 3 would be favored. If genotype [1,2,3,0,0] arises via mutation, it is expected to fix. However, genotype [1,2,3,0,0] affects the environment differently. As [1,2,3,0,0] rises in abundance, the constructed environment changes 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 1.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Here, since allele 1 follows allele 5, there is no longer a mismatch, so no further adaptation occurs.</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(locus 1).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4" w:name="figures"/>
      <w:bookmarkEnd w:id="44"/>
      <w:r>
        <w:t xml:space="preserve">Figures</w:t>
      </w:r>
    </w:p>
    <w:p>
      <w:pPr>
        <w:pStyle w:val="Heading2"/>
      </w:pPr>
      <w:bookmarkStart w:id="45" w:name="fig1"/>
      <w:bookmarkEnd w:id="45"/>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7" w:name="fig2"/>
      <w:bookmarkEnd w:id="47"/>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3"/>
      <w:bookmarkEnd w:id="49"/>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cooperation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1" w:name="fig4"/>
      <w:bookmarkEnd w:id="51"/>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subpopulation (red) is placed within an all-cooperator population (light blue). Because these defectors do not bear the costs of cooperation, they spread (</w:t>
      </w:r>
      <m:oMath>
        <m:r>
          <m:rPr>
            <m:sty m:val="p"/>
          </m:rPr>
          <m:t>t</m:t>
        </m:r>
        <m:r>
          <m:rPr>
            <m:sty m:val="p"/>
          </m:rPr>
          <m:t>=</m:t>
        </m:r>
        <m:r>
          <m:rPr>
            <m:sty m:val="p"/>
          </m:rPr>
          <m:t>272</m:t>
        </m:r>
      </m:oMath>
      <w:r>
        <w:t xml:space="preserve">). However, cooperators in one subpopulation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subpopulations. However, the adapted cooperator type spreads more quickly due to its fitness advantage, invading both defector subpopulations and ancestral cooperator subpopulations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3" w:name="box-1-figures"/>
      <w:bookmarkEnd w:id="53"/>
      <w:r>
        <w:t xml:space="preserve">Box 1 Figures</w:t>
      </w:r>
    </w:p>
    <w:p/>
    <w:p>
      <w:pPr>
        <w:pStyle w:val="Heading2"/>
      </w:pPr>
      <w:bookmarkStart w:id="54" w:name="figB1"/>
      <w:bookmarkEnd w:id="54"/>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6" w:name="supplemental-figures"/>
      <w:bookmarkEnd w:id="56"/>
      <w:r>
        <w:t xml:space="preserve">Supplemental Figures</w:t>
      </w:r>
    </w:p>
    <w:p/>
    <w:p>
      <w:pPr>
        <w:pStyle w:val="Heading2"/>
      </w:pPr>
      <w:bookmarkStart w:id="57" w:name="figS1"/>
      <w:bookmarkEnd w:id="57"/>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9" w:name="tables"/>
      <w:bookmarkEnd w:id="59"/>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1">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2">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fb30dd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