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As soon as the opportunities for adaptation are exhausted, cooperators are once again at a disadvantage against defectors. However, cooperation can be maintained indefinitely when frequent environmental changes produce a stream of non-social adaptive opportunities (</w:t>
      </w:r>
      <w:r>
        <w:rPr>
          <w:b/>
        </w:rPr>
        <w:t xml:space="preserve">If this isn’t included in Hankshaw paper, remove this sentence and re-write next</w:t>
      </w:r>
      <w:r>
        <w:t xml:space="preserve">). Although natural organisms typically find themselves in changing environments, cooperators may not be able to rely on the the environment to provide sufficient adaptive opportunities for their long-term survival.</w:t>
      </w:r>
    </w:p>
    <w:p>
      <w:r>
        <w:t xml:space="preserve">Here, we extend the model presented in</w:t>
      </w:r>
      <w:r>
        <w:t xml:space="preserve"> </w:t>
      </w:r>
      <w:r>
        <w:t xml:space="preserve">Hankshaw and Kerr (2015)</w:t>
      </w:r>
      <w:r>
        <w:t xml:space="preserve"> </w:t>
      </w:r>
      <w:r>
        <w:t xml:space="preserve">to address whether the selective feedbacks generated by niche construction can act as a source of adaptive opportunities that enables cooperators to persist. In the model, cooperators produce a public good that increases the local carrying capacity for their population. As in</w:t>
      </w:r>
      <w:r>
        <w:t xml:space="preserve"> </w:t>
      </w:r>
      <w:r>
        <w:t xml:space="preserve">Hankshaw and Kerr (2015)</w:t>
      </w:r>
      <w:r>
        <w:t xml:space="preserve">, populations can also acquire non-social adaptations, which present an opportunity for cooperation to hitchhike along. In our extended model, populations alter their local environments based on the presence of these different non-social adaptations. As a result, selection for non-social alleles is altered, creating an eco-evolutionary feedback. This has several potential benefits for cooperators. First, because populations of cooperators are larger, they are more likely to gain mutations that are beneficial in the changing environment. Similarly, this difference in size means that larger cooperator populations</w:t>
      </w:r>
      <w:r>
        <w:t xml:space="preserve"> </w:t>
      </w:r>
      <w:r>
        <w:t xml:space="preserve">“</w:t>
      </w:r>
      <w:r>
        <w:t xml:space="preserve">export</w:t>
      </w:r>
      <w:r>
        <w:t xml:space="preserve">”</w:t>
      </w:r>
      <w:r>
        <w:t xml:space="preserve"> </w:t>
      </w:r>
      <w:r>
        <w:t xml:space="preserve">their niche at a higher rate than defectors. Finally, because each population constructs a unique niche, the threat of immigrant defectors may be diminished by maladaptation to a cooperator population’s niche.</w:t>
      </w:r>
    </w:p>
    <w:p>
      <w:r>
        <w:t xml:space="preserve">Many instances of cooperatively-produced public goods benefit populations by making the environment more hospitable. For example, bacteria produce a wide variety of exoproducts such as iron-scavenging siderophores</w:t>
      </w:r>
      <w:r>
        <w:t xml:space="preserve"> </w:t>
      </w:r>
      <w:r>
        <w:t xml:space="preserve">(Griffin</w:t>
      </w:r>
      <w:r>
        <w:t xml:space="preserve"> </w:t>
      </w:r>
      <w:r>
        <w:rPr>
          <w:i/>
        </w:rPr>
        <w:t xml:space="preserve">et al.</w:t>
      </w:r>
      <w:r>
        <w:t xml:space="preserve">, 2004)</w:t>
      </w:r>
      <w:r>
        <w:t xml:space="preserve">, proteases for protein digestion</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many more</w:t>
      </w:r>
      <w:r>
        <w:t xml:space="preserve"> </w:t>
      </w:r>
      <w:r>
        <w:t xml:space="preserve">(West</w:t>
      </w:r>
      <w:r>
        <w:t xml:space="preserve"> </w:t>
      </w:r>
      <w:r>
        <w:rPr>
          <w:i/>
        </w:rPr>
        <w:t xml:space="preserve">et al.</w:t>
      </w:r>
      <w:r>
        <w:t xml:space="preserve">, 2007a)</w:t>
      </w:r>
      <w:r>
        <w:t xml:space="preserve">. TODO little work has examined feedback.</w:t>
      </w:r>
    </w:p>
    <w:p>
      <w:r>
        <w:t xml:space="preserve">Niche construction and cooperation *</w:t>
      </w:r>
      <w:r>
        <w:t xml:space="preserve"> </w:t>
      </w:r>
      <w:r>
        <w:t xml:space="preserve">(Van Dyken and Wade, 2012)</w:t>
      </w:r>
      <w:r>
        <w:t xml:space="preserve"> </w:t>
      </w:r>
      <w:r>
        <w:t xml:space="preserve">*</w:t>
      </w:r>
      <w:r>
        <w:t xml:space="preserve"> </w:t>
      </w:r>
      <w:r>
        <w:t xml:space="preserve">(Lehmann, 2007)</w:t>
      </w:r>
      <w:r>
        <w:t xml:space="preserve"> </w:t>
      </w:r>
      <w:r>
        <w:t xml:space="preserve">*</w:t>
      </w:r>
      <w:r>
        <w:t xml:space="preserve"> </w:t>
      </w:r>
      <w:r>
        <w:t xml:space="preserve">(Platt and Bever, 2009)</w:t>
      </w:r>
      <w:r>
        <w:t xml:space="preserve"> </w:t>
      </w:r>
      <w:r>
        <w:t xml:space="preserve">*</w:t>
      </w:r>
      <w:r>
        <w:t xml:space="preserve"> </w:t>
      </w:r>
      <w:r>
        <w:t xml:space="preserve">(Schwilk and Kerr, 2002)</w:t>
      </w:r>
      <w:r>
        <w:t xml:space="preserve"> </w:t>
      </w:r>
      <w:r>
        <w:t xml:space="preserve">* What’s unique here—hitchhiking aspect</w:t>
      </w:r>
    </w:p>
    <w:p>
      <w:r>
        <w:t xml:space="preserve">Niche construction and selective feedbacks</w:t>
      </w:r>
    </w:p>
    <w:p>
      <w:r>
        <w:t xml:space="preserve">Niche construction and other social interactions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future primacy/recency</w:t>
      </w:r>
    </w:p>
    <w:p>
      <w:pPr>
        <w:pStyle w:val="Compact"/>
        <w:numPr>
          <w:numId w:val="1002"/>
          <w:ilvl w:val="1"/>
        </w:numPr>
      </w:pPr>
      <w:r>
        <w:t xml:space="preserve">Laland et al. (1996)</w:t>
      </w:r>
    </w:p>
    <w:p>
      <w:pPr>
        <w:pStyle w:val="Compact"/>
        <w:numPr>
          <w:numId w:val="1002"/>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 Acknowledgments</w:t>
      </w:r>
    </w:p>
    <w:p>
      <w:pPr>
        <w:pStyle w:val="Compact"/>
        <w:numPr>
          <w:numId w:val="1001"/>
          <w:ilvl w:val="0"/>
        </w:numPr>
      </w:pPr>
      <w:r>
        <w:t xml:space="preserve">PRFB</w:t>
      </w:r>
    </w:p>
    <w:p>
      <w:pPr>
        <w:pStyle w:val="Compact"/>
        <w:numPr>
          <w:numId w:val="1001"/>
          <w:ilvl w:val="0"/>
        </w:numPr>
      </w:pPr>
      <w:r>
        <w:t xml:space="preserve">BEACON</w:t>
      </w:r>
    </w:p>
    <w:p>
      <w:pPr>
        <w:pStyle w:val="Compact"/>
        <w:numPr>
          <w:numId w:val="1001"/>
          <w:ilvl w:val="0"/>
        </w:numPr>
      </w:pPr>
      <w:r>
        <w:t xml:space="preserve">Google</w:t>
      </w:r>
    </w:p>
    <w:p>
      <w:pPr>
        <w:pStyle w:val="Compact"/>
        <w:numPr>
          <w:numId w:val="1001"/>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left"/>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left"/>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left"/>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left"/>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left"/>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lef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lef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left"/>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left"/>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left"/>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left"/>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left"/>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left"/>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Platt, T.G. and Bever, J.D. 2009. Kin competition and the evolution of cooperation.</w:t>
      </w:r>
      <w:r>
        <w:t xml:space="preserve"> </w:t>
      </w:r>
      <w:r>
        <w:rPr>
          <w:i/>
        </w:rPr>
        <w:t xml:space="preserve">Trends in Ecology &amp; Evolution</w:t>
      </w:r>
      <w:r>
        <w:t xml:space="preserve">,</w:t>
      </w:r>
      <w:r>
        <w:t xml:space="preserve"> </w:t>
      </w:r>
      <w:r>
        <w:rPr>
          <w:b/>
        </w:rPr>
        <w:t xml:space="preserve">24</w:t>
      </w:r>
      <w:r>
        <w:t xml:space="preserve">: 370–377.</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3397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046b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