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47.png" ContentType="image/png"/>
  <Override PartName="/word/media/rId49.png" ContentType="image/png"/>
  <Override PartName="/word/media/rId51.png" ContentType="image/png"/>
  <Override PartName="/word/media/rId53.png" ContentType="image/png"/>
  <Override PartName="/word/media/rId56.png" ContentType="image/png"/>
  <Override PartName="/word/media/rId58.png" ContentType="image/png"/>
  <Override PartName="/word/media/rId60.png" ContentType="image/png"/>
  <Override PartName="/word/media/rId62.png" ContentType="image/png"/>
  <Override PartName="/word/media/rId6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can gain a substantial leg up on defectors in an adaptive race when the cooperative behavior increases local population density, thus increasing the likelihood of acquiring beneficial non-social mutations. By hitchhiking along with these adaptations, the cooperative trait can rapidly rise in abundance. Nevertheless, this advantage is fleeting. As soon as the opportunities for adaptation are exhausted, cooperators are once again at a disadvantage against defectors. However,</w:t>
      </w:r>
      <w:r>
        <w:t xml:space="preserve"> </w:t>
      </w:r>
      <w:r>
        <w:t xml:space="preserve">Hankshaw and Kerr (2015)</w:t>
      </w:r>
      <w:r>
        <w:t xml:space="preserve"> </w:t>
      </w:r>
      <w:r>
        <w:t xml:space="preserve">demonstrated that cooperation can be maintained indefinitely when frequent environmental changes produce a steady stream of non-social adaptive opportunities. Although organisms typically find themselves in dynamic environments, change might not occur at a rate that provides sufficient adaptive opportunities to ensure long-term cooperator survival.</w:t>
      </w:r>
    </w:p>
    <w:p>
      <w:r>
        <w:t xml:space="preserve">In this work, we demonstrate how cooperation can be maintained indefinitely by niche construction. We expand upon the model presented in</w:t>
      </w:r>
      <w:r>
        <w:t xml:space="preserve"> </w:t>
      </w:r>
      <w:r>
        <w:t xml:space="preserve">Hankshaw and Kerr (2015)</w:t>
      </w:r>
      <w:r>
        <w:t xml:space="preserve"> </w:t>
      </w:r>
      <w:r>
        <w:t xml:space="preserve">to allow populations to alter their local environment. As environments change, so too does selection. This creates an eco-evolutionary feedback whereby selection is altered based on current phenotypes, which changes the composition of phenotypes and their effects. The effect on selection can be either positive or negative, depending on whether the environmental change increases or decreases the fitness of the niche-constructing individual. Although niche construction occurs independently of cooperation in our model, the increase in density that results from public good production has a profound effect on how populations evolve in the presence of selective feedbacks. First, these populations exert greater influence on their environments, which better enables them to benefit from positive niche construction. And as environments change, either through negative niche construction or external influences, these larger populations can adapt more quickly. We show that it is the combination of these factors that allows cooperation to persist.</w:t>
      </w:r>
    </w:p>
    <w:p>
      <w:pPr>
        <w:pStyle w:val="Heading3"/>
      </w:pPr>
      <w:bookmarkStart w:id="22" w:name="description-of-positive-nc-effects"/>
      <w:bookmarkEnd w:id="22"/>
      <w:r>
        <w:t xml:space="preserve">Description of positive NC effects</w:t>
      </w:r>
    </w:p>
    <w:p>
      <w:r>
        <w:t xml:space="preserve">Include Smax and m sweeps here, or in a later paragraph?</w:t>
      </w:r>
    </w:p>
    <w:p>
      <w:pPr>
        <w:pStyle w:val="Heading3"/>
      </w:pPr>
      <w:bookmarkStart w:id="23" w:name="description-of-negative-nc-effects"/>
      <w:bookmarkEnd w:id="23"/>
      <w:r>
        <w:t xml:space="preserve">Description of negative NC effects</w:t>
      </w:r>
    </w:p>
    <w:p>
      <w:r>
        <w:t xml:space="preserve">TODO</w:t>
      </w:r>
    </w:p>
    <w:p>
      <w:pPr>
        <w:pStyle w:val="Heading3"/>
      </w:pPr>
      <w:bookmarkStart w:id="24" w:name="stuff-to-be-cutintegrated-above"/>
      <w:bookmarkEnd w:id="24"/>
      <w:r>
        <w:t xml:space="preserve">Stuff to be cut/integrated above</w:t>
      </w:r>
    </w:p>
    <w:p>
      <w:r>
        <w:t xml:space="preserve">This niche construction creates feedback that increasingly favors the adaptations present in each population. We first examine how the intensity of these feedbacks affects the hitchhiking process. Because the production of public goods increases population density, populations containing cooperators will exert a greater influence on their environment. As a result, these environments will be more quickly brought to states where fitness is higher.</w:t>
      </w:r>
    </w:p>
    <w:p>
      <w:r>
        <w:t xml:space="preserve">As populations construct unique niches, they potentially decrease the threat of invasion from neighboring patches. This occurs when the traits that were advantageous in an immigrant’s home niche are maladaptive elsewhere. Because environmental change is influenced solely by non-social phenotypes in this model, this change of invasibility affects cooperators and defectors equally. Here again, however, populations containing a greater number of cooperators may have an advantage. The greater number of individuals that emigrate from these larger populations allow them to</w:t>
      </w:r>
      <w:r>
        <w:t xml:space="preserve"> </w:t>
      </w:r>
      <w:r>
        <w:t xml:space="preserve">“</w:t>
      </w:r>
      <w:r>
        <w:t xml:space="preserve">export</w:t>
      </w:r>
      <w:r>
        <w:t xml:space="preserve">”</w:t>
      </w:r>
      <w:r>
        <w:t xml:space="preserve"> </w:t>
      </w:r>
      <w:r>
        <w:t xml:space="preserve">their niche—and thus reduce the fitness of neighboring competitors—at a higher rate. We explore whether the range expansion that this process enables provides additional opportunities for cooperation to hitchhike.</w:t>
      </w:r>
    </w:p>
    <w:p>
      <w:r>
        <w:t xml:space="preserve">Finally, we demonstrate how</w:t>
      </w:r>
      <w:r>
        <w:t xml:space="preserve"> </w:t>
      </w:r>
      <w:r>
        <w:rPr>
          <w:i/>
        </w:rPr>
        <w:t xml:space="preserve">negative</w:t>
      </w:r>
      <w:r>
        <w:t xml:space="preserve"> </w:t>
      </w:r>
      <w:r>
        <w:t xml:space="preserve">niche construction, where populations change their environment in ways that reduce fitness, can further support cooperation. Even though the niche construction process creates selective feedbacks, we would expect the magnitude of these feedbacks to decrease as populations evolve. Once individuals can no longer gain adaptations that compensate for the costs of cooperation, they are then outcompeted by non-cooperators. However if populations construct their environment in a way which decreases fitness, cooperation can still hitchhike when this change also creates the opportunity to gain compensatory adaptations.</w:t>
      </w:r>
    </w:p>
    <w:p>
      <w:pPr>
        <w:pStyle w:val="Heading1"/>
      </w:pPr>
      <w:bookmarkStart w:id="25" w:name="materials-and-methods"/>
      <w:bookmarkEnd w:id="25"/>
      <w:r>
        <w:t xml:space="preserve">Materials and Methods</w:t>
      </w:r>
    </w:p>
    <w:p>
      <w:r>
        <w:t xml:space="preserve">We build upon the model described in</w:t>
      </w:r>
      <w:r>
        <w:t xml:space="preserve"> </w:t>
      </w:r>
      <w:r>
        <w:t xml:space="preserve">Hankshaw and Kerr (2015)</w:t>
      </w:r>
      <w:r>
        <w:t xml:space="preserve">, in which cooperators and defectors compete and evolve in a spatially-structured metapopulation of populations. Each of these populations grows to carrying capacity, mutates, and migrates to neighboring patches. During this process, populations adapt to their local environments. In our extended model, we allow populations to modify their local environment, and these modifications feed back to affect selection.</w:t>
      </w:r>
    </w:p>
    <w:p>
      <w:pPr>
        <w:pStyle w:val="Heading2"/>
      </w:pPr>
      <w:bookmarkStart w:id="26" w:name="model-description"/>
      <w:bookmarkEnd w:id="26"/>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supports a population of zero or more individuals. Each individual in the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potential alleles. At each of these loci, the presence of a non-zero allele represents an adaptation to the environment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minimally-adapted cooperator recoups the cost of cooperation. Equation 1 defines function</w:t>
      </w:r>
      <w:r>
        <w:t xml:space="preserve"> </w:t>
      </w:r>
      <m:oMath>
        <m:r>
          <m:rPr>
            <m:sty m:val="p"/>
          </m:rPr>
          <m:t>n</m:t>
        </m:r>
        <m:r>
          <m:rPr>
            <m:sty m:val="p"/>
          </m:rPr>
          <m:t>(</m:t>
        </m:r>
        <m:r>
          <m:rPr>
            <m:sty m:val="p"/>
          </m:rPr>
          <m:t>a</m:t>
        </m:r>
        <m:r>
          <m:rPr>
            <m:sty m:val="p"/>
          </m:rPr>
          <m:t>,</m:t>
        </m:r>
        <m:r>
          <m:rPr>
            <m:sty m:val="p"/>
          </m:rPr>
          <m:t>l</m:t>
        </m:r>
        <m:r>
          <m:rPr>
            <m:sty m:val="p"/>
          </m:rPr>
          <m:t>)</m:t>
        </m:r>
      </m:oMath>
      <w:r>
        <w:t xml:space="preserve">, which gives the number of individuals in the population with allelic state</w:t>
      </w:r>
      <w:r>
        <w:t xml:space="preserve"> </w:t>
      </w:r>
      <m:oMath>
        <m:r>
          <m:rPr>
            <m:sty m:val="p"/>
          </m:rPr>
          <m:t>a</m:t>
        </m:r>
      </m:oMath>
      <w:r>
        <w:t xml:space="preserve"> </w:t>
      </w:r>
      <w:r>
        <w:t xml:space="preserve">at locus</w:t>
      </w:r>
      <w:r>
        <w:t xml:space="preserve"> </w:t>
      </w:r>
      <m:oMath>
        <m:r>
          <m:rPr>
            <m:sty m:val="p"/>
          </m:rPr>
          <m:t>l</m:t>
        </m:r>
      </m:oMath>
      <w:r>
        <w:t xml:space="preserv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w:t>
      </w:r>
    </w:p>
    <w:p>
      <m:oMathPara>
        <m:oMathParaPr>
          <m:jc m:val="center"/>
        </m:oMathParaPr>
        <m:oMath>
          <m:r>
            <m:rPr>
              <m:sty m:val="p"/>
            </m:rPr>
            <m:t>n</m:t>
          </m:r>
          <m:r>
            <m:rPr>
              <m:sty m:val="p"/>
            </m:rPr>
            <m:t>(</m:t>
          </m:r>
          <m:r>
            <m:rPr>
              <m:sty m:val="p"/>
            </m:rPr>
            <m:t>a</m:t>
          </m:r>
          <m:r>
            <m:rPr>
              <m:sty m:val="p"/>
            </m:rPr>
            <m:t>,</m:t>
          </m:r>
          <m:r>
            <m:rPr>
              <m:sty m:val="p"/>
            </m:rPr>
            <m:t>l</m:t>
          </m:r>
          <m:r>
            <m:rPr>
              <m:sty m:val="p"/>
            </m:rPr>
            <m:t>)</m:t>
          </m:r>
          <m:r>
            <m:rPr>
              <m:sty m:val="p"/>
            </m:rPr>
            <m:t>=</m:t>
          </m:r>
          <m:nary>
            <m:naryPr>
              <m:chr m:val="∑"/>
              <m:limLoc m:val="undOvr"/>
              <m:supHide m:val="on"/>
              <m:supHide m:val="on"/>
            </m:naryPr>
            <m:e>
              <m:sSub>
                <m:e>
                  <m:r>
                    <m:rPr>
                      <m:sty m:val="p"/>
                    </m:rPr>
                    <m:t>I</m:t>
                  </m:r>
                </m:e>
                <m:sub>
                  <m:sSub>
                    <m:e>
                      <m:r>
                        <m:rPr>
                          <m:sty m:val="p"/>
                        </m:rPr>
                        <m:t>a</m:t>
                      </m:r>
                    </m:e>
                    <m:sub>
                      <m:r>
                        <m:rPr>
                          <m:sty m:val="p"/>
                        </m:rPr>
                        <m:t>g</m:t>
                      </m:r>
                      <m:r>
                        <m:rPr>
                          <m:sty m:val="p"/>
                        </m:rPr>
                        <m:t>,</m:t>
                      </m:r>
                      <m:r>
                        <m:rPr>
                          <m:sty m:val="p"/>
                        </m:rPr>
                        <m:t>l</m:t>
                      </m:r>
                    </m:sub>
                  </m:sSub>
                </m:sub>
              </m:sSub>
            </m:e>
            <m:sub/>
            <m:sup>
              <m:r>
                <m:rPr>
                  <m:sty m:val="p"/>
                </m:rPr>
                <m:t>i</m:t>
              </m:r>
              <m:r>
                <m:rPr>
                  <m:sty m:val="p"/>
                </m:rPr>
                <m:t>∈</m:t>
              </m:r>
              <m:r>
                <m:rPr>
                  <m:sty m:val="p"/>
                </m:rPr>
                <m:t>P</m:t>
              </m:r>
            </m:sup>
          </m:nary>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  </m:t>
          </m:r>
          <m:r>
            <m:rPr>
              <m:sty m:val="p"/>
            </m:rPr>
            <m:t>(</m:t>
          </m:r>
          <m:r>
            <m:rPr>
              <m:sty m:val="p"/>
            </m:rPr>
            <m:t>1</m:t>
          </m:r>
          <m:r>
            <m:rPr>
              <m:sty m:val="p"/>
            </m:rPr>
            <m:t>)</m:t>
          </m:r>
        </m:oMath>
      </m:oMathPara>
    </w:p>
    <w:p>
      <w:r>
        <w:t xml:space="preserve">Organisms also influence their environment, which, in turn, influences selection. We model this as a form of frequency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t>
      </w:r>
      <w:r>
        <w:t xml:space="preserve">(note that we treat both adaptive loci and allelic states as circular, so the allelic state at locus 1 is affected by locus</w:t>
      </w:r>
      <w:r>
        <w:t xml:space="preserve"> </w:t>
      </w:r>
      <m:oMath>
        <m:r>
          <m:rPr>
            <m:sty m:val="p"/>
          </m:rPr>
          <m:t>L</m:t>
        </m:r>
      </m:oMath>
      <w:r>
        <w:t xml:space="preserve">, and allele 1 is best preceded by allele</w:t>
      </w:r>
      <w:r>
        <w:t xml:space="preserve"> </w:t>
      </w:r>
      <m:oMath>
        <m:sSub>
          <m:e>
            <m:r>
              <m:rPr>
                <m:sty m:val="p"/>
              </m:rPr>
              <m:t>a</m:t>
            </m:r>
          </m:e>
          <m:sub>
            <m:r>
              <m:rPr>
                <m:sty m:val="p"/>
              </m:rPr>
              <m:t>m</m:t>
            </m:r>
            <m:r>
              <m:rPr>
                <m:sty m:val="p"/>
              </m:rPr>
              <m:t>a</m:t>
            </m:r>
            <m:r>
              <m:rPr>
                <m:sty m:val="p"/>
              </m:rPr>
              <m:t>x</m:t>
            </m:r>
          </m:sub>
        </m:sSub>
      </m:oMath>
      <w:r>
        <w:t xml:space="preserve">). The slope of this increase is</w:t>
      </w:r>
      <w:r>
        <w:t xml:space="preserve"> </w:t>
      </w:r>
      <m:oMath>
        <m:r>
          <m:rPr>
            <m:sty m:val="p"/>
          </m:rPr>
          <m:t>ϵ</m:t>
        </m:r>
      </m:oMath>
      <w:r>
        <w:t xml:space="preserve">, which specifies the intensity of niche construction. As a consequence of this form of frequency dependence, genotypes with sequentially-increasing allelic states will tend to evolve. Because mutations are random, as described later,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in population</w:t>
      </w:r>
      <w:r>
        <w:t xml:space="preserve"> </w:t>
      </w:r>
      <m:oMath>
        <m:r>
          <m:rPr>
            <m:sty m:val="p"/>
          </m:rPr>
          <m:t>P</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sSub>
            <m:e>
              <m:r>
                <m:rPr>
                  <m:sty m:val="p"/>
                </m:rPr>
                <m:t>a</m:t>
              </m:r>
            </m:e>
            <m:sub>
              <m:r>
                <m:rPr>
                  <m:sty m:val="p"/>
                </m:rPr>
                <m:t>m</m:t>
              </m:r>
              <m:r>
                <m:rPr>
                  <m:sty m:val="p"/>
                </m:rPr>
                <m:t>a</m:t>
              </m:r>
              <m:r>
                <m:rPr>
                  <m:sty m:val="p"/>
                </m:rPr>
                <m:t>x</m:t>
              </m:r>
            </m:sub>
          </m:sSub>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 The function</w:t>
      </w:r>
      <w:r>
        <w:t xml:space="preserve"> </w:t>
      </w:r>
      <m:oMath>
        <m:sSub>
          <m:e>
            <m:r>
              <m:rPr>
                <m:sty m:val="p"/>
              </m:rPr>
              <m:t>I</m:t>
            </m:r>
          </m:e>
          <m:sub>
            <m:r>
              <m:rPr>
                <m:sty m:val="p"/>
              </m:rPr>
              <m:t>A</m:t>
            </m:r>
          </m:sub>
        </m:sSub>
        <m:r>
          <m:rPr>
            <m:sty m:val="p"/>
          </m:rPr>
          <m:t>(</m:t>
        </m:r>
        <m:r>
          <m:rPr>
            <m:sty m:val="p"/>
          </m:rPr>
          <m:t>a</m:t>
        </m:r>
        <m:r>
          <m:rPr>
            <m:sty m:val="p"/>
          </m:rPr>
          <m:t>)</m:t>
        </m:r>
      </m:oMath>
      <w:r>
        <w:t xml:space="preserve"> </w:t>
      </w:r>
      <w:r>
        <w:t xml:space="preserve">indicates whether a given allelic state</w:t>
      </w:r>
      <w:r>
        <w:t xml:space="preserve"> </w:t>
      </w:r>
      <m:oMath>
        <m:r>
          <m:rPr>
            <m:sty m:val="p"/>
          </m:rPr>
          <m:t>a</m:t>
        </m:r>
      </m:oMath>
      <w:r>
        <w:t xml:space="preserve"> </w:t>
      </w:r>
      <w:r>
        <w:t xml:space="preserve">is in</w:t>
      </w:r>
      <w:r>
        <w:t xml:space="preserve"> </w:t>
      </w:r>
      <m:oMath>
        <m:r>
          <m:rPr>
            <m:sty m:val="p"/>
          </m:rPr>
          <m:t>A</m:t>
        </m:r>
      </m:oMath>
      <w:r>
        <w:t xml:space="preserve"> </w:t>
      </w:r>
      <w:r>
        <w:t xml:space="preserve">(i.e., it is non-zero), while the function</w:t>
      </w:r>
      <w:r>
        <w:t xml:space="preserve"> </w:t>
      </w:r>
      <m:oMath>
        <m:r>
          <m:rPr>
            <m:sty m:val="p"/>
          </m:rPr>
          <m:t>β</m:t>
        </m:r>
        <m:r>
          <m:rPr>
            <m:sty m:val="p"/>
          </m:rPr>
          <m:t>(</m:t>
        </m:r>
        <m:r>
          <m:rPr>
            <m:sty m:val="p"/>
          </m:rPr>
          <m:t>x</m:t>
        </m:r>
        <m:r>
          <m:rPr>
            <m:sty m:val="p"/>
          </m:rPr>
          <m:t>,</m:t>
        </m:r>
        <m:sSub>
          <m:e>
            <m:r>
              <m:rPr>
                <m:sty m:val="p"/>
              </m:rPr>
              <m:t>x</m:t>
            </m:r>
          </m:e>
          <m:sub>
            <m:r>
              <m:rPr>
                <m:sty m:val="p"/>
              </m:rPr>
              <m:t>m</m:t>
            </m:r>
            <m:r>
              <m:rPr>
                <m:sty m:val="p"/>
              </m:rPr>
              <m:t>a</m:t>
            </m:r>
            <m:r>
              <m:rPr>
                <m:sty m:val="p"/>
              </m:rPr>
              <m:t>x</m:t>
            </m:r>
          </m:sub>
        </m:sSub>
        <m:r>
          <m:rPr>
            <m:sty m:val="p"/>
          </m:rPr>
          <m:t>)</m:t>
        </m:r>
      </m:oMath>
      <w:r>
        <w:t xml:space="preserve"> </w:t>
      </w:r>
      <w:r>
        <w:t xml:space="preserve">gives the value below some value</w:t>
      </w:r>
      <w:r>
        <w:t xml:space="preserve"> </w:t>
      </w:r>
      <m:oMath>
        <m:r>
          <m:rPr>
            <m:sty m:val="p"/>
          </m:rPr>
          <m:t>x</m:t>
        </m:r>
      </m:oMath>
      <w:r>
        <w:t xml:space="preserve"> </w:t>
      </w:r>
      <w:r>
        <w:t xml:space="preserve">in the circular set</w:t>
      </w:r>
      <w:r>
        <w:t xml:space="preserve"> </w:t>
      </w:r>
      <m:oMath>
        <m:r>
          <m:rPr>
            <m:sty m:val="p"/>
          </m:rPr>
          <m:t>{</m:t>
        </m:r>
        <m:r>
          <m:rPr>
            <m:sty m:val="p"/>
          </m:rPr>
          <m:t>1</m:t>
        </m:r>
        <m:r>
          <m:rPr>
            <m:sty m:val="p"/>
          </m:rPr>
          <m:t>,</m:t>
        </m:r>
        <m:r>
          <m:rPr>
            <m:sty m:val="p"/>
          </m:rPr>
          <m:t>…</m:t>
        </m:r>
        <m:r>
          <m:rPr>
            <m:sty m:val="p"/>
          </m:rPr>
          <m:t>,</m:t>
        </m:r>
        <m:sSub>
          <m:e>
            <m:r>
              <m:rPr>
                <m:sty m:val="p"/>
              </m:rPr>
              <m:t>x</m:t>
            </m:r>
          </m:e>
          <m:sub>
            <m:r>
              <m:rPr>
                <m:sty m:val="p"/>
              </m:rPr>
              <m:t>m</m:t>
            </m:r>
            <m:r>
              <m:rPr>
                <m:sty m:val="p"/>
              </m:rPr>
              <m:t>a</m:t>
            </m:r>
            <m:r>
              <m:rPr>
                <m:sty m:val="p"/>
              </m:rPr>
              <m:t>x</m:t>
            </m:r>
          </m:sub>
        </m:sSub>
        <m:r>
          <m:rPr>
            <m:sty m:val="p"/>
          </m:rPr>
          <m:t>}</m:t>
        </m:r>
      </m:oMath>
      <w:r>
        <w:t xml:space="preserve"> </w:t>
      </w:r>
      <w:r>
        <w:t xml:space="preserve">(Equation 3).</w:t>
      </w:r>
    </w:p>
    <w:p>
      <w:r>
        <w:t xml:space="preserve">$$ \beta(x, x_{max}) = \{(x - 2 + x_{max}) \bmod x_{max}\} + 1 \qquad (3)$$</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w:t>
      </w:r>
      <w:r>
        <w:t xml:space="preserve"> </w:t>
      </w:r>
      <m:oMath>
        <m:sSub>
          <m:e>
            <m:r>
              <m:rPr>
                <m:sty m:val="p"/>
              </m:rPr>
              <m:t>π</m:t>
            </m:r>
          </m:e>
          <m:sub>
            <m:r>
              <m:rPr>
                <m:sty m:val="p"/>
              </m:rPr>
              <m:t>i</m:t>
            </m:r>
          </m:sub>
        </m:sSub>
      </m:oMath>
      <w:r>
        <w:t xml:space="preserve"> </w:t>
      </w:r>
      <w:r>
        <w:t xml:space="preserve">therefore reflects that an individual’s ability to persist is proportional to its fitness relative to others’.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and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6</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 Because we define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allelic states is equally likely to arise via mutation at a given locus.</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w:t>
      </w:r>
      <m:oMath>
        <m:r>
          <m:rPr>
            <m:sty m:val="p"/>
          </m:rPr>
          <m:t>∀</m:t>
        </m:r>
        <m:r>
          <m:rPr>
            <m:sty m:val="p"/>
          </m:rPr>
          <m:t>i</m:t>
        </m:r>
        <m:r>
          <m:rPr>
            <m:sty m:val="p"/>
          </m:rPr>
          <m:t>∈</m:t>
        </m:r>
        <m:r>
          <m:rPr>
            <m:sty m:val="p"/>
          </m:rPr>
          <m:t>P</m:t>
        </m:r>
        <m:r>
          <m:rPr>
            <m:sty m:val="p"/>
          </m:rPr>
          <m:t>,</m:t>
        </m:r>
        <m:r>
          <m:rPr>
            <m:sty m:val="p"/>
          </m:rPr>
          <m:t>l</m:t>
        </m:r>
        <m:r>
          <m:rPr>
            <m:sty m:val="p"/>
          </m:rPr>
          <m:t>∈</m:t>
        </m:r>
        <m:r>
          <m:rPr>
            <m:sty m:val="p"/>
          </m:rPr>
          <m:t>{</m:t>
        </m:r>
        <m:r>
          <m:rPr>
            <m:sty m:val="p"/>
          </m:rPr>
          <m:t>1</m:t>
        </m:r>
        <m:r>
          <m:rPr>
            <m:sty m:val="p"/>
          </m:rPr>
          <m:t>,</m:t>
        </m:r>
        <m:r>
          <m:rPr>
            <m:sty m:val="p"/>
          </m:rPr>
          <m:t>…</m:t>
        </m:r>
        <m:r>
          <m:rPr>
            <m:sty m:val="p"/>
          </m:rPr>
          <m:t>,</m:t>
        </m:r>
        <m:r>
          <m:rPr>
            <m:sty m:val="p"/>
          </m:rPr>
          <m:t>L</m:t>
        </m:r>
        <m:r>
          <m:rPr>
            <m:sty m:val="p"/>
          </m:rPr>
          <m:t>}</m:t>
        </m:r>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7" w:name="source-code-and-software-environment"/>
      <w:bookmarkEnd w:id="27"/>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8" w:name="results"/>
      <w:bookmarkEnd w:id="28"/>
      <w:r>
        <w:t xml:space="preserve">Results</w:t>
      </w:r>
    </w:p>
    <w:p>
      <w:pPr>
        <w:pStyle w:val="Heading2"/>
      </w:pPr>
      <w:bookmarkStart w:id="29" w:name="niche-construction-maintains-cooperation"/>
      <w:bookmarkEnd w:id="29"/>
      <w:r>
        <w:t xml:space="preserve">Niche Construction Maintains Cooperation</w:t>
      </w:r>
    </w:p>
    <w:p>
      <w:r>
        <w:t xml:space="preserve">Despite being able to form larger populations, cooperators are swiftly eliminated in competition with defectors, despite spatial structuring in the metapopulation (Figure 1A). As demonstrated by</w:t>
      </w:r>
      <w:r>
        <w:t xml:space="preserve"> </w:t>
      </w:r>
      <w:r>
        <w:t xml:space="preserve">Hankshaw and Kerr (2015)</w:t>
      </w:r>
      <w:r>
        <w:t xml:space="preserve">, cooperators are temporarily bolstered by the ability to hitchhike along with non-social adaptations (Figure 1B). As shown in Figure 1C, we find that niche hiking can prolong cooperation, perhaps indefinitely (see</w:t>
      </w:r>
      <w:r>
        <w:t xml:space="preserve"> </w:t>
      </w:r>
      <w:hyperlink w:anchor="tables">
        <w:r>
          <w:rPr>
            <w:rStyle w:val="Link"/>
          </w:rPr>
          <w:t xml:space="preserve">Table 1</w:t>
        </w:r>
      </w:hyperlink>
      <w:r>
        <w:t xml:space="preserve"> </w:t>
      </w:r>
      <w:r>
        <w:t xml:space="preserve">for model parameters). (</w:t>
      </w:r>
      <w:r>
        <w:rPr>
          <w:b/>
        </w:rPr>
        <w:t xml:space="preserve">TODO</w:t>
      </w:r>
      <w:r>
        <w:t xml:space="preserve"> </w:t>
      </w:r>
      <w:r>
        <w:t xml:space="preserve">describe the oscillations). We now explore this process further to identify the factors underlying this effect.</w:t>
      </w:r>
    </w:p>
    <w:p>
      <w:pPr>
        <w:pStyle w:val="Heading2"/>
      </w:pPr>
      <w:bookmarkStart w:id="30" w:name="not-just-because-of-additional-fitness-from-epsilon-todo-title"/>
      <w:bookmarkEnd w:id="30"/>
      <w:r>
        <w:t xml:space="preserve">Not Just Because of Additional Fitness from Epsilon (TODO title)</w:t>
      </w:r>
    </w:p>
    <w:p>
      <w:r>
        <w:t xml:space="preserve">In our model, an individual’s fitness is the product of two processes. First, mutations can engender environmental adaptations, which are represented by non-zero alleles. These adaptations create the transient lift in cooperation seen in Figure 1B. The second process that contributes to fitness is niche construction. Selection favors individuals with sequentially-increasing alleles. Because larger populations will have a greater effect on their environment, this benefit is density dependent. In our experiments, this positive niche construction contributed equally to fitness when all individuals shared the same allele in a population at maximum carrying capacity. To determine whether cooperation was maintained simply due to the higher selective values made possible by this second source of fitness, we compared our results against the results of experiments in which the ordering of alleles did not matter, and the fitness benefit provided by adaptation was doubled (</w:t>
      </w:r>
      <m:oMath>
        <m:r>
          <m:rPr>
            <m:sty m:val="p"/>
          </m:rPr>
          <m:t>ϵ</m:t>
        </m:r>
        <m:r>
          <m:rPr>
            <m:sty m:val="p"/>
          </m:rPr>
          <m:t>=</m:t>
        </m:r>
        <m:r>
          <m:rPr>
            <m:sty m:val="p"/>
          </m:rPr>
          <m:t>0</m:t>
        </m:r>
      </m:oMath>
      <w:r>
        <w:t xml:space="preserve">,</w:t>
      </w:r>
      <w:r>
        <w:t xml:space="preserve"> </w:t>
      </w:r>
      <m:oMath>
        <m:r>
          <m:rPr>
            <m:sty m:val="p"/>
          </m:rPr>
          <m:t>δ</m:t>
        </m:r>
        <m:r>
          <m:rPr>
            <m:sty m:val="p"/>
          </m:rPr>
          <m:t>=</m:t>
        </m:r>
        <m:r>
          <m:rPr>
            <m:sty m:val="p"/>
          </m:rPr>
          <m:t>0</m:t>
        </m:r>
        <m:r>
          <m:rPr>
            <m:sty m:val="p"/>
          </m:rPr>
          <m:t>.</m:t>
        </m:r>
        <m:r>
          <m:rPr>
            <m:sty m:val="p"/>
          </m:rPr>
          <m:t>6</m:t>
        </m:r>
      </m:oMath>
      <w:r>
        <w:t xml:space="preserve">). That this doubling is an over estimate of the magnitude of fitness contributions that arise from niche construction, since these values would only occur in populations at maximum carrying capacity, which does not occur in the presence of defectors. Nevertheless, Figure 2 shows that higher selective values have little effect (columns A and C) and do not explain the maintenance of cooperation that we observe when niche construction occurs (column B).</w:t>
      </w:r>
    </w:p>
    <w:p>
      <w:r>
        <w:t xml:space="preserve">Although we have seen that maximum fitness does not substantially effect the maintenance of cooperation, perhaps the rate at which fitness accumulates in cooperator and defector populations matters. When we compare the accumulation of fitness via adaptation in the presence of niche construction (Figure 3A) against simulations in which selective values are doubled (Figure 3B), two features emerge. In both scenarios, cooperators gain adaptations more quickly than defectors due to their size. When niche construction is not present, cooperator fitness is eventually surpassed by that of defectors (Figure 3B). As described by</w:t>
      </w:r>
      <w:r>
        <w:t xml:space="preserve"> </w:t>
      </w:r>
      <w:r>
        <w:t xml:space="preserve">Hankshaw and Kerr (2015)</w:t>
      </w:r>
      <w:r>
        <w:t xml:space="preserve">, this leads to the demise of cooperators. In contrast, cooperator fitness is never surpassed when niche construction is present (Figure 3A), which allows cooperation to persist.</w:t>
      </w:r>
    </w:p>
    <w:p>
      <w:r>
        <w:rPr>
          <w:b/>
        </w:rPr>
        <w:t xml:space="preserve">TODO: discuss time at which fitness plateaus?</w:t>
      </w:r>
    </w:p>
    <w:p>
      <w:r>
        <w:rPr>
          <w:b/>
        </w:rPr>
        <w:t xml:space="preserve">TODO: describe how maximum fitness is calculated?</w:t>
      </w:r>
    </w:p>
    <w:p>
      <w:pPr>
        <w:pStyle w:val="Heading2"/>
      </w:pPr>
      <w:bookmarkStart w:id="31" w:name="negative-niche-construction-plays-a-key-role-todo-title"/>
      <w:bookmarkEnd w:id="31"/>
      <w:r>
        <w:t xml:space="preserve">Negative Niche Construction Plays a Key Role (TODO title)</w:t>
      </w:r>
    </w:p>
    <w:p>
      <w:r>
        <w:t xml:space="preserve">Figure 3A also shows that niche-constructing populations never reach maximum fitness. One major contributor to this is the density dependence of the benefit provided by niche construction. Because defectors remain present (Figure 1C), the smaller populations that result are unable to unlock the full benefit of niche construction. The second contributor to the reduced fitness that we observe is negative niche construction. This occurs in our model due to selection for sequentially-increasing allelic states and the circular arrangement of these alleles. When the genome length (</w:t>
      </w:r>
      <m:oMath>
        <m:r>
          <m:rPr>
            <m:sty m:val="p"/>
          </m:rPr>
          <m:t>L</m:t>
        </m:r>
      </m:oMath>
      <w:r>
        <w:t xml:space="preserve">) is not evenly divided by the number of non-zero alleles (</w:t>
      </w:r>
      <m:oMath>
        <m:sSub>
          <m:e>
            <m:r>
              <m:rPr>
                <m:sty m:val="p"/>
              </m:rPr>
              <m:t>a</m:t>
            </m:r>
          </m:e>
          <m:sub>
            <m:r>
              <m:rPr>
                <m:sty m:val="p"/>
              </m:rPr>
              <m:t>m</m:t>
            </m:r>
            <m:r>
              <m:rPr>
                <m:sty m:val="p"/>
              </m:rPr>
              <m:t>a</m:t>
            </m:r>
            <m:r>
              <m:rPr>
                <m:sty m:val="p"/>
              </m:rPr>
              <m:t>x</m:t>
            </m:r>
          </m:sub>
        </m:sSub>
      </m:oMath>
      <w:r>
        <w:t xml:space="preserve">), a conflict arises when the allelic state at locus</w:t>
      </w:r>
      <w:r>
        <w:t xml:space="preserve"> </w:t>
      </w:r>
      <m:oMath>
        <m:r>
          <m:rPr>
            <m:sty m:val="p"/>
          </m:rPr>
          <m:t>1</m:t>
        </m:r>
      </m:oMath>
      <w:r>
        <w:t xml:space="preserve"> </w:t>
      </w:r>
      <w:r>
        <w:t xml:space="preserve">is not 1 larger than the allelic state at locus</w:t>
      </w:r>
      <w:r>
        <w:t xml:space="preserve"> </w:t>
      </w:r>
      <m:oMath>
        <m:r>
          <m:rPr>
            <m:sty m:val="p"/>
          </m:rPr>
          <m:t>L</m:t>
        </m:r>
      </m:oMath>
      <w:r>
        <w:t xml:space="preserve">. 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sSub>
          <m:e>
            <m:r>
              <m:rPr>
                <m:sty m:val="p"/>
              </m:rPr>
              <m:t>a</m:t>
            </m:r>
          </m:e>
          <m:sub>
            <m:r>
              <m:rPr>
                <m:sty m:val="p"/>
              </m:rPr>
              <m:t>m</m:t>
            </m:r>
            <m:r>
              <m:rPr>
                <m:sty m:val="p"/>
              </m:rPr>
              <m:t>a</m:t>
            </m:r>
            <m:r>
              <m:rPr>
                <m:sty m:val="p"/>
              </m:rPr>
              <m:t>x</m:t>
            </m:r>
          </m:sub>
        </m:sSub>
        <m:r>
          <m:rPr>
            <m:sty m:val="p"/>
          </m:rPr>
          <m:t>=</m:t>
        </m:r>
        <m:r>
          <m:rPr>
            <m:sty m:val="p"/>
          </m:rPr>
          <m:t>3</m:t>
        </m:r>
      </m:oMath>
      <w:r>
        <w:t xml:space="preserve">. Here, allelic state</w:t>
      </w:r>
      <w:r>
        <w:t xml:space="preserve"> </w:t>
      </w:r>
      <m:oMath>
        <m:r>
          <m:rPr>
            <m:sty m:val="p"/>
          </m:rPr>
          <m:t>2</m:t>
        </m:r>
      </m:oMath>
      <w:r>
        <w:t xml:space="preserve"> </w:t>
      </w:r>
      <w:r>
        <w:t xml:space="preserve">at locus 2 will be be beneficial, because it follows allelic state</w:t>
      </w:r>
      <w:r>
        <w:t xml:space="preserve"> </w:t>
      </w:r>
      <m:oMath>
        <m:r>
          <m:rPr>
            <m:sty m:val="p"/>
          </m:rPr>
          <m:t>1</m:t>
        </m:r>
      </m:oMath>
      <w:r>
        <w:t xml:space="preserve"> </w:t>
      </w:r>
      <w:r>
        <w:t xml:space="preserve">at locus 1. However, due to the circular effects, allelic state</w:t>
      </w:r>
      <w:r>
        <w:t xml:space="preserve"> </w:t>
      </w:r>
      <m:oMath>
        <m:r>
          <m:rPr>
            <m:sty m:val="p"/>
          </m:rPr>
          <m:t>1</m:t>
        </m:r>
      </m:oMath>
      <w:r>
        <w:t xml:space="preserve"> </w:t>
      </w:r>
      <w:r>
        <w:t xml:space="preserve">at locus 1 will be deleterious, because it does not follow</w:t>
      </w:r>
      <w:r>
        <w:t xml:space="preserve"> </w:t>
      </w:r>
      <m:oMath>
        <m:r>
          <m:rPr>
            <m:sty m:val="p"/>
          </m:rPr>
          <m:t>2</m:t>
        </m:r>
      </m:oMath>
      <w:r>
        <w:t xml:space="preserve">.</w:t>
      </w:r>
    </w:p>
    <w:p>
      <w:r>
        <w:t xml:space="preserve">To isolate the effect of negative niche construction, we compare our results against those from simulations in which this allelic conflict was absent (</w:t>
      </w:r>
      <m:oMath>
        <m:r>
          <m:rPr>
            <m:sty m:val="p"/>
          </m:rPr>
          <m:t>L</m:t>
        </m:r>
        <m:r>
          <m:rPr>
            <m:sty m:val="p"/>
          </m:rPr>
          <m:t>=</m:t>
        </m:r>
        <m:r>
          <m:rPr>
            <m:sty m:val="p"/>
          </m:rPr>
          <m:t>5</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5</m:t>
        </m:r>
      </m:oMath>
      <w:r>
        <w:t xml:space="preserve">). Figure 2 shows that although positive niche construction still led to an increase in cooperation (column D), these populations were not able to maintain the same level of cooperation seen in the presence of negative niche construction (column B). We find that because this lack of conflict allows populations to reach a fully-adapted state, cooperators once again acquire these adaptations more quickly but are eventually driven from the population (Figures 3C and 1X). These results indicate that both positive and negative niche construction is required to maintain cooperation.</w:t>
      </w:r>
    </w:p>
    <w:p>
      <w:r>
        <w:t xml:space="preserve">(</w:t>
      </w:r>
      <w:r>
        <w:rPr>
          <w:b/>
        </w:rPr>
        <w:t xml:space="preserve">TODO: explain why defector fitness doesn’t reach 4 (density dependent fitness)</w:t>
      </w:r>
      <w:r>
        <w:t xml:space="preserve"> </w:t>
      </w:r>
      <w:r>
        <w:t xml:space="preserve">maybe better in figure caption?)</w:t>
      </w:r>
    </w:p>
    <w:p>
      <w:r>
        <w:t xml:space="preserve">To further explore the influence of negative niche construction, we performed experiments in which the positive effects of niche construction were removed. Here, individuals had a single adaptive locus that was constantly in conflict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As seen in Figures 2 (column E) and 3D, the constant source of adaptation that is provided by negative niche construction is not sufficient to maintain cooperation via hitchhiking, and cooperators are quickly purged from the population. This provides further evidence that feedbacks from both positive and negative niche construction are required for cooperation to persist.</w:t>
      </w:r>
    </w:p>
    <w:p>
      <w:pPr>
        <w:pStyle w:val="Heading2"/>
      </w:pPr>
      <w:bookmarkStart w:id="32" w:name="nc-enables-cooperator-spread"/>
      <w:bookmarkEnd w:id="32"/>
      <w:r>
        <w:t xml:space="preserve">NC Enables Cooperator Spread</w:t>
      </w:r>
    </w:p>
    <w:p>
      <w:r>
        <w:t xml:space="preserve">Figure 4</w:t>
      </w:r>
    </w:p>
    <w:p>
      <w:pPr>
        <w:pStyle w:val="Heading2"/>
      </w:pPr>
      <w:bookmarkStart w:id="33" w:name="nc-prevents-defector-invasion"/>
      <w:bookmarkEnd w:id="33"/>
      <w:r>
        <w:t xml:space="preserve">NC Prevents Defector Invasion</w:t>
      </w:r>
    </w:p>
    <w:p>
      <w:r>
        <w:t xml:space="preserve">Figure 5</w:t>
      </w:r>
    </w:p>
    <w:p>
      <w:pPr>
        <w:pStyle w:val="Heading2"/>
      </w:pPr>
      <w:bookmarkStart w:id="34" w:name="how-public-good-fuels-all-of-this"/>
      <w:bookmarkEnd w:id="34"/>
      <w:r>
        <w:t xml:space="preserve">How Public Good Fuels all of this</w:t>
      </w:r>
    </w:p>
    <w:p>
      <w:r>
        <w:t xml:space="preserve">Figure 6 A: effect of Smax-Smin, B: effect of migration rate</w:t>
      </w:r>
    </w:p>
    <w:p>
      <w:pPr>
        <w:pStyle w:val="Heading1"/>
      </w:pPr>
      <w:bookmarkStart w:id="35" w:name="discussion"/>
      <w:bookmarkEnd w:id="35"/>
      <w:r>
        <w:t xml:space="preserve">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negative/positive NC</w:t>
      </w:r>
    </w:p>
    <w:p>
      <w:pPr>
        <w:pStyle w:val="Compact"/>
        <w:numPr>
          <w:numId w:val="1003"/>
          <w:ilvl w:val="1"/>
        </w:numPr>
      </w:pPr>
      <w:r>
        <w:t xml:space="preserve">laland1996evolutionary</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4"/>
          <w:ilvl w:val="1"/>
        </w:numPr>
      </w:pPr>
      <w:r>
        <w:t xml:space="preserve">Rodrigues (2012)</w:t>
      </w:r>
    </w:p>
    <w:p>
      <w:pPr>
        <w:pStyle w:val="Compact"/>
        <w:numPr>
          <w:numId w:val="1004"/>
          <w:ilvl w:val="1"/>
        </w:numPr>
      </w:pPr>
      <w:r>
        <w:t xml:space="preserve">Dumas and Kümmerli (2010)</w:t>
      </w:r>
    </w:p>
    <w:p>
      <w:pPr>
        <w:pStyle w:val="Compact"/>
        <w:numPr>
          <w:numId w:val="1004"/>
          <w:ilvl w:val="1"/>
        </w:numPr>
      </w:pPr>
      <w:r>
        <w:t xml:space="preserve">Kümmerli and Brown (2010)</w:t>
      </w:r>
    </w:p>
    <w:p>
      <w:pPr>
        <w:pStyle w:val="Compact"/>
        <w:numPr>
          <w:numId w:val="1004"/>
          <w:ilvl w:val="1"/>
        </w:numPr>
      </w:pPr>
      <w:r>
        <w:t xml:space="preserve">Darch/Diggle</w:t>
      </w:r>
    </w:p>
    <w:p>
      <w:pPr>
        <w:pStyle w:val="Compact"/>
        <w:numPr>
          <w:numId w:val="1004"/>
          <w:ilvl w:val="1"/>
        </w:numPr>
      </w:pPr>
      <w:r>
        <w:t xml:space="preserve">QS?</w:t>
      </w:r>
    </w:p>
    <w:p>
      <w:pPr>
        <w:pStyle w:val="Compact"/>
        <w:numPr>
          <w:numId w:val="1004"/>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pPr>
        <w:pStyle w:val="Heading2"/>
      </w:pPr>
      <w:bookmarkStart w:id="36" w:name="public-goods"/>
      <w:bookmarkEnd w:id="36"/>
      <w:r>
        <w:t xml:space="preserve">Public Goods</w:t>
      </w:r>
    </w:p>
    <w:p>
      <w:r>
        <w:t xml:space="preserve">TODO: merge this in with the</w:t>
      </w:r>
      <w:r>
        <w:t xml:space="preserve"> </w:t>
      </w:r>
      <w:r>
        <w:t xml:space="preserve">“</w:t>
      </w:r>
      <w:r>
        <w:t xml:space="preserve">Cooperative Niche Construction</w:t>
      </w:r>
      <w:r>
        <w:t xml:space="preserve">”</w:t>
      </w:r>
      <w:r>
        <w:t xml:space="preserve"> </w:t>
      </w:r>
      <w:r>
        <w:t xml:space="preserve">section</w:t>
      </w:r>
      <w:r>
        <w:t xml:space="preserve"> </w:t>
      </w:r>
      <w:hyperlink r:id="rId37">
        <w:r>
          <w:rPr>
            <w:rStyle w:val="Link"/>
          </w:rPr>
          <w:t xml:space="preserve">TEST</w:t>
        </w:r>
      </w:hyperlink>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38" w:name="primacyrecency"/>
      <w:bookmarkEnd w:id="38"/>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2,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39" w:name="cooperative-niche-construction"/>
      <w:bookmarkEnd w:id="39"/>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40" w:name="host-symbiont"/>
      <w:bookmarkEnd w:id="40"/>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41" w:name="acknowledgments"/>
      <w:bookmarkEnd w:id="41"/>
      <w:r>
        <w:t xml:space="preserve">Acknowledgments</w:t>
      </w:r>
    </w:p>
    <w:p>
      <w:pPr>
        <w:pStyle w:val="Compact"/>
        <w:numPr>
          <w:numId w:val="1005"/>
          <w:ilvl w:val="0"/>
        </w:numPr>
      </w:pPr>
      <w:r>
        <w:t xml:space="preserve">TODO: Organizers?</w:t>
      </w:r>
    </w:p>
    <w:p>
      <w:pPr>
        <w:pStyle w:val="Compact"/>
        <w:numPr>
          <w:numId w:val="1005"/>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42" w:name="figures"/>
      <w:bookmarkEnd w:id="42"/>
      <w:r>
        <w:t xml:space="preserve">Figures</w:t>
      </w:r>
    </w:p>
    <w:p>
      <w:pPr>
        <w:pStyle w:val="Heading2"/>
      </w:pPr>
      <w:bookmarkStart w:id="43" w:name="figure-1"/>
      <w:bookmarkEnd w:id="43"/>
      <w:r>
        <w:t xml:space="preserve">Figure 1</w:t>
      </w:r>
    </w:p>
    <w:p>
      <w:pPr>
        <w:pStyle w:val="Heading3"/>
      </w:pPr>
      <w:bookmarkStart w:id="44" w:name="figure-1a"/>
      <w:bookmarkEnd w:id="44"/>
      <w:r>
        <w:t xml:space="preserve">Figure 1A</w:t>
      </w:r>
    </w:p>
    <w:p>
      <w:r>
        <w:drawing>
          <wp:inline>
            <wp:extent cx="5334000" cy="5334000"/>
            <wp:effectExtent b="0" l="0" r="0" t="0"/>
            <wp:docPr descr="" id="1" name="Picture"/>
            <a:graphic>
              <a:graphicData uri="http://schemas.openxmlformats.org/drawingml/2006/picture">
                <pic:pic>
                  <pic:nvPicPr>
                    <pic:cNvPr descr="../figures/Figure1A.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when there are no opportunities for non-social adaptation</w:t>
      </w:r>
    </w:p>
    <w:p/>
    <w:p>
      <w:pPr>
        <w:pStyle w:val="Heading3"/>
      </w:pPr>
      <w:bookmarkStart w:id="46" w:name="figure-1b"/>
      <w:bookmarkEnd w:id="46"/>
      <w:r>
        <w:t xml:space="preserve">Figure 1B</w:t>
      </w:r>
    </w:p>
    <w:p>
      <w:r>
        <w:drawing>
          <wp:inline>
            <wp:extent cx="5334000" cy="5334000"/>
            <wp:effectExtent b="0" l="0" r="0" t="0"/>
            <wp:docPr descr="" id="1" name="Picture"/>
            <a:graphic>
              <a:graphicData uri="http://schemas.openxmlformats.org/drawingml/2006/picture">
                <pic:pic>
                  <pic:nvPicPr>
                    <pic:cNvPr descr="../figures/Figure1B.png" id="0"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 non-social adaptation (GNH)</w:t>
      </w:r>
    </w:p>
    <w:p>
      <w:pPr>
        <w:pStyle w:val="Heading3"/>
      </w:pPr>
      <w:bookmarkStart w:id="48" w:name="figure-1c"/>
      <w:bookmarkEnd w:id="48"/>
      <w:r>
        <w:t xml:space="preserve">Figure 1C</w:t>
      </w:r>
    </w:p>
    <w:p>
      <w:r>
        <w:drawing>
          <wp:inline>
            <wp:extent cx="5334000" cy="5334000"/>
            <wp:effectExtent b="0" l="0" r="0" t="0"/>
            <wp:docPr descr="" id="1" name="Picture"/>
            <a:graphic>
              <a:graphicData uri="http://schemas.openxmlformats.org/drawingml/2006/picture">
                <pic:pic>
                  <pic:nvPicPr>
                    <pic:cNvPr descr="../figures/Figure1C.png" id="0"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 non-social adaptation and selective feedbacks</w:t>
      </w:r>
    </w:p>
    <w:p>
      <w:pPr>
        <w:pStyle w:val="Heading3"/>
      </w:pPr>
      <w:bookmarkStart w:id="50" w:name="figure-1x"/>
      <w:bookmarkEnd w:id="50"/>
      <w:r>
        <w:t xml:space="preserve">Figure 1X</w:t>
      </w:r>
    </w:p>
    <w:p>
      <w:r>
        <w:drawing>
          <wp:inline>
            <wp:extent cx="5334000" cy="5334000"/>
            <wp:effectExtent b="0" l="0" r="0" t="0"/>
            <wp:docPr descr="" id="1" name="Picture"/>
            <a:graphic>
              <a:graphicData uri="http://schemas.openxmlformats.org/drawingml/2006/picture">
                <pic:pic>
                  <pic:nvPicPr>
                    <pic:cNvPr descr="../figures/Figure1X.png" id="0"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without negative niche construction</w:t>
      </w:r>
    </w:p>
    <w:p/>
    <w:p>
      <w:pPr>
        <w:pStyle w:val="Heading2"/>
      </w:pPr>
      <w:bookmarkStart w:id="52" w:name="figure-2"/>
      <w:bookmarkEnd w:id="52"/>
      <w:r>
        <w:t xml:space="preserve">Figure 2</w:t>
      </w:r>
    </w:p>
    <w:p>
      <w:r>
        <w:drawing>
          <wp:inline>
            <wp:extent cx="5334000" cy="3295968"/>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53"/>
                    <a:stretch>
                      <a:fillRect/>
                    </a:stretch>
                  </pic:blipFill>
                  <pic:spPr bwMode="auto">
                    <a:xfrm>
                      <a:off x="0" y="0"/>
                      <a:ext cx="5334000" cy="3295968"/>
                    </a:xfrm>
                    <a:prstGeom prst="rect">
                      <a:avLst/>
                    </a:prstGeom>
                    <a:noFill/>
                    <a:ln w="9525">
                      <a:noFill/>
                      <a:headEnd/>
                      <a:tailEnd/>
                    </a:ln>
                  </pic:spPr>
                </pic:pic>
              </a:graphicData>
            </a:graphic>
          </wp:inline>
        </w:drawing>
      </w:r>
    </w:p>
    <w:p>
      <w:pPr>
        <w:pStyle w:val="ImageCaption"/>
      </w:pPr>
      <w:r>
        <w:t xml:space="preserve">Cooperator Presence TODO</w:t>
      </w:r>
    </w:p>
    <w:p/>
    <w:p>
      <w:pPr>
        <w:pStyle w:val="Heading2"/>
      </w:pPr>
      <w:bookmarkStart w:id="54" w:name="figure-3"/>
      <w:bookmarkEnd w:id="54"/>
      <w:r>
        <w:t xml:space="preserve">Figure 3</w:t>
      </w:r>
    </w:p>
    <w:p>
      <w:r>
        <w:t xml:space="preserve">Mean fitness over time for the treatments shown in Figure 2</w:t>
      </w:r>
    </w:p>
    <w:p>
      <w:pPr>
        <w:pStyle w:val="Heading3"/>
      </w:pPr>
      <w:bookmarkStart w:id="55" w:name="figure-3a---fitness-for-base-case-niche-construction"/>
      <w:bookmarkEnd w:id="55"/>
      <w:r>
        <w:t xml:space="preserve">Figure 3A - Fitness for base case: niche construction</w:t>
      </w:r>
    </w:p>
    <w:p>
      <w:r>
        <w:drawing>
          <wp:inline>
            <wp:extent cx="5334000" cy="3295227"/>
            <wp:effectExtent b="0" l="0" r="0" t="0"/>
            <wp:docPr descr="" id="1" name="Picture"/>
            <a:graphic>
              <a:graphicData uri="http://schemas.openxmlformats.org/drawingml/2006/picture">
                <pic:pic>
                  <pic:nvPicPr>
                    <pic:cNvPr descr="../figures/Figure3A.png" id="0" name="Picture"/>
                    <pic:cNvPicPr>
                      <a:picLocks noChangeArrowheads="1" noChangeAspect="1"/>
                    </pic:cNvPicPr>
                  </pic:nvPicPr>
                  <pic:blipFill>
                    <a:blip r:embed="rId56"/>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TODO</w:t>
      </w:r>
    </w:p>
    <w:p>
      <w:pPr>
        <w:pStyle w:val="Heading3"/>
      </w:pPr>
      <w:bookmarkStart w:id="57" w:name="figure-3b---fitness-with-double-delta-no-epsilon"/>
      <w:bookmarkEnd w:id="57"/>
      <w:r>
        <w:t xml:space="preserve">Figure 3B - Fitness with double delta, no epsilon</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58"/>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double delta, no epsilon TODO</w:t>
      </w:r>
    </w:p>
    <w:p>
      <w:pPr>
        <w:pStyle w:val="Heading3"/>
      </w:pPr>
      <w:bookmarkStart w:id="59" w:name="figure-3c---fitness-with-no-negative-niche-construction-l5-a5"/>
      <w:bookmarkEnd w:id="59"/>
      <w:r>
        <w:t xml:space="preserve">Figure 3C - Fitness with no negative niche construction (L=5, A=5)</w:t>
      </w:r>
    </w:p>
    <w:p>
      <w:r>
        <w:drawing>
          <wp:inline>
            <wp:extent cx="5334000" cy="3295227"/>
            <wp:effectExtent b="0" l="0" r="0" t="0"/>
            <wp:docPr descr="" id="1" name="Picture"/>
            <a:graphic>
              <a:graphicData uri="http://schemas.openxmlformats.org/drawingml/2006/picture">
                <pic:pic>
                  <pic:nvPicPr>
                    <pic:cNvPr descr="../figures/Figure3C.png" id="0" name="Picture"/>
                    <pic:cNvPicPr>
                      <a:picLocks noChangeArrowheads="1" noChangeAspect="1"/>
                    </pic:cNvPicPr>
                  </pic:nvPicPr>
                  <pic:blipFill>
                    <a:blip r:embed="rId60"/>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no negative niche construction TODO</w:t>
      </w:r>
    </w:p>
    <w:p>
      <w:pPr>
        <w:pStyle w:val="Heading3"/>
      </w:pPr>
      <w:bookmarkStart w:id="61" w:name="figure-3d---fitness-with-extreme-negative-niche-construction-l1-a6"/>
      <w:bookmarkEnd w:id="61"/>
      <w:r>
        <w:t xml:space="preserve">Figure 3D - Fitness with extreme negative niche construction (L=1, A=6)</w:t>
      </w:r>
    </w:p>
    <w:p>
      <w:r>
        <w:drawing>
          <wp:inline>
            <wp:extent cx="5334000" cy="3295227"/>
            <wp:effectExtent b="0" l="0" r="0" t="0"/>
            <wp:docPr descr="" id="1" name="Picture"/>
            <a:graphic>
              <a:graphicData uri="http://schemas.openxmlformats.org/drawingml/2006/picture">
                <pic:pic>
                  <pic:nvPicPr>
                    <pic:cNvPr descr="../figures/Figure3D.png" id="0" name="Picture"/>
                    <pic:cNvPicPr>
                      <a:picLocks noChangeArrowheads="1" noChangeAspect="1"/>
                    </pic:cNvPicPr>
                  </pic:nvPicPr>
                  <pic:blipFill>
                    <a:blip r:embed="rId62"/>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extreme negative niche construction TODO</w:t>
      </w:r>
    </w:p>
    <w:p/>
    <w:p>
      <w:pPr>
        <w:pStyle w:val="Heading2"/>
      </w:pPr>
      <w:bookmarkStart w:id="63" w:name="figure-4"/>
      <w:bookmarkEnd w:id="63"/>
      <w:r>
        <w:t xml:space="preserve">Figure 4</w:t>
      </w:r>
    </w:p>
    <w:p>
      <w:r>
        <w:t xml:space="preserve">Cooperators invade from single population</w:t>
      </w:r>
    </w:p>
    <w:p>
      <w:pPr>
        <w:pStyle w:val="Heading2"/>
      </w:pPr>
      <w:bookmarkStart w:id="64" w:name="figure-5"/>
      <w:bookmarkEnd w:id="64"/>
      <w:r>
        <w:t xml:space="preserve">Figure 5</w:t>
      </w:r>
    </w:p>
    <w:p>
      <w:r>
        <w:t xml:space="preserve">Defectors are kept at bay</w:t>
      </w:r>
    </w:p>
    <w:p>
      <w:pPr>
        <w:pStyle w:val="Heading2"/>
      </w:pPr>
      <w:bookmarkStart w:id="65" w:name="figure-6"/>
      <w:bookmarkEnd w:id="65"/>
      <w:r>
        <w:t xml:space="preserve">Figure 6</w:t>
      </w:r>
    </w:p>
    <w:p>
      <w:pPr>
        <w:pStyle w:val="Heading3"/>
      </w:pPr>
      <w:bookmarkStart w:id="66" w:name="figure-6a---effect-of-migration-rate-m"/>
      <w:bookmarkEnd w:id="66"/>
      <w:r>
        <w:t xml:space="preserve">Figure 6A - Effect of Migration Rate (m)</w:t>
      </w:r>
    </w:p>
    <w:p>
      <w:r>
        <w:drawing>
          <wp:inline>
            <wp:extent cx="5334000" cy="3295227"/>
            <wp:effectExtent b="0" l="0" r="0" t="0"/>
            <wp:docPr descr="" id="1" name="Picture"/>
            <a:graphic>
              <a:graphicData uri="http://schemas.openxmlformats.org/drawingml/2006/picture">
                <pic:pic>
                  <pic:nvPicPr>
                    <pic:cNvPr descr="../figures/Figure6A.png" id="0" name="Picture"/>
                    <pic:cNvPicPr>
                      <a:picLocks noChangeArrowheads="1" noChangeAspect="1"/>
                    </pic:cNvPicPr>
                  </pic:nvPicPr>
                  <pic:blipFill>
                    <a:blip r:embed="rId67"/>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TODO Cooperator Presence for different migration rates</w:t>
      </w:r>
    </w:p>
    <w:p>
      <w:pPr>
        <w:pStyle w:val="Heading3"/>
      </w:pPr>
      <w:bookmarkStart w:id="68" w:name="figure-6b---effect-of-public-good-benefit-smax-smin"/>
      <w:bookmarkEnd w:id="68"/>
      <w:r>
        <w:t xml:space="preserve">Figure 6B - Effect of Public Good Benefit (Smax-Smin)</w:t>
      </w:r>
    </w:p>
    <w:p/>
    <w:p>
      <w:pPr>
        <w:pStyle w:val="Heading1"/>
      </w:pPr>
      <w:bookmarkStart w:id="69" w:name="tables"/>
      <w:bookmarkEnd w:id="69"/>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70" w:name="references"/>
      <w:bookmarkEnd w:id="70"/>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71">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F., Sam P. AND Taddei.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72">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Hankshaw, S. and Kerr, B. 2015. Thumbs up!: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c900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a9915c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7" Target="media/rId67.png" /><Relationship Type="http://schemas.openxmlformats.org/officeDocument/2006/relationships/hyperlink" Id="rId37" Target="Coopeative%20Niche%20Construction" TargetMode="External" /><Relationship Type="http://schemas.openxmlformats.org/officeDocument/2006/relationships/hyperlink" Id="rId71" Target="http://dx.doi.org/10.1038/ismej.2014.259" TargetMode="External" /><Relationship Type="http://schemas.openxmlformats.org/officeDocument/2006/relationships/hyperlink" Id="rId72"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7" Target="Coopeative%20Niche%20Construction" TargetMode="External" /><Relationship Type="http://schemas.openxmlformats.org/officeDocument/2006/relationships/hyperlink" Id="rId71" Target="http://dx.doi.org/10.1038/ismej.2014.259" TargetMode="External" /><Relationship Type="http://schemas.openxmlformats.org/officeDocument/2006/relationships/hyperlink" Id="rId72"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