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5.png" ContentType="image/png"/>
  <Override PartName="/word/media/rId47.png" ContentType="image/png"/>
  <Override PartName="/word/media/rId49.png" ContentType="image/png"/>
  <Override PartName="/word/media/rId51.png" ContentType="image/png"/>
  <Override PartName="/word/media/rId54.png" ContentType="image/png"/>
  <Override PartName="/word/media/rId56.png" ContentType="image/png"/>
  <Override PartName="/word/media/rId58.png" ContentType="image/png"/>
  <Override PartName="/word/media/rId60.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 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 structured populations, cooperators can gain a substantial leg up on defectors in an adaptive race. Specifically, cooperative behavior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Hankshaw and Kerr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demonstrate how cooperation can be maintained indefinitely by niche construction. We expand upon the model presented in</w:t>
      </w:r>
      <w:r>
        <w:t xml:space="preserve"> </w:t>
      </w:r>
      <w:r>
        <w:t xml:space="preserve">Hankshaw and Kerr (2015)</w:t>
      </w:r>
      <w:r>
        <w:t xml:space="preserve"> </w:t>
      </w:r>
      <w:r>
        <w:t xml:space="preserve">to allow populations to alter their local environment. As environments change, so too does selection. This creates an eco-evolutionary feedback whereby selection is dependent on current genotypes, and the composition of genotypes is dependent on selection. Niche construction can be positive or negative, depending on whether the environmental change increases or decreases the fitness of the niche-constructing individual. 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stuff-to-be-cutintegrated-above"/>
      <w:bookmarkEnd w:id="22"/>
      <w:r>
        <w:t xml:space="preserve">Stuff to be cut/integrated above</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3" w:name="materials-and-methods"/>
      <w:bookmarkEnd w:id="23"/>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4" w:name="model-description"/>
      <w:bookmarkEnd w:id="24"/>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5" w:name="source-code-and-software-environment"/>
      <w:bookmarkEnd w:id="25"/>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6" w:name="results"/>
      <w:bookmarkEnd w:id="26"/>
      <w:r>
        <w:t xml:space="preserve">Results</w:t>
      </w:r>
    </w:p>
    <w:p>
      <w:pPr>
        <w:pStyle w:val="Heading2"/>
      </w:pPr>
      <w:bookmarkStart w:id="27" w:name="niche-construction-maintains-cooperation"/>
      <w:bookmarkEnd w:id="27"/>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Hankshaw and Kerr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28" w:name="not-just-because-of-additional-fitness-from-epsilon-todo-title"/>
      <w:bookmarkEnd w:id="28"/>
      <w:r>
        <w:t xml:space="preserve">Not Just Because of Additional Fitness from Epsilon (TODO title)</w:t>
      </w:r>
    </w:p>
    <w:p>
      <w:r>
        <w:t xml:space="preserve">In our model, an individual’s fitness is the product of two processes. First, mutations can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Hankshaw and Kerr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29" w:name="negative-niche-construction-plays-a-key-role-todo-title"/>
      <w:bookmarkEnd w:id="29"/>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provides further evidence that feedbacks from both positive and negative niche construction are required for cooperation to persist.</w:t>
      </w:r>
    </w:p>
    <w:p>
      <w:pPr>
        <w:pStyle w:val="Heading2"/>
      </w:pPr>
      <w:bookmarkStart w:id="30" w:name="nc-enables-cooperator-spread"/>
      <w:bookmarkEnd w:id="30"/>
      <w:r>
        <w:t xml:space="preserve">NC Enables Cooperator Spread</w:t>
      </w:r>
    </w:p>
    <w:p>
      <w:r>
        <w:t xml:space="preserve">Figure 4</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Figure 6 A: effect of Smax-Smin, B: effect of migration rate</w:t>
      </w:r>
    </w:p>
    <w:p>
      <w:pPr>
        <w:pStyle w:val="Heading1"/>
      </w:pPr>
      <w:bookmarkStart w:id="33" w:name="discussion"/>
      <w:bookmarkEnd w:id="33"/>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4" w:name="public-goods"/>
      <w:bookmarkEnd w:id="34"/>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5">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6" w:name="primacyrecency"/>
      <w:bookmarkEnd w:id="36"/>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7" w:name="cooperative-niche-construction"/>
      <w:bookmarkEnd w:id="37"/>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8" w:name="host-symbiont"/>
      <w:bookmarkEnd w:id="38"/>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9" w:name="acknowledgments"/>
      <w:bookmarkEnd w:id="39"/>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40" w:name="figures"/>
      <w:bookmarkEnd w:id="40"/>
      <w:r>
        <w:t xml:space="preserve">Figures</w:t>
      </w:r>
    </w:p>
    <w:p>
      <w:pPr>
        <w:pStyle w:val="Heading2"/>
      </w:pPr>
      <w:bookmarkStart w:id="41" w:name="figure-1"/>
      <w:bookmarkEnd w:id="41"/>
      <w:r>
        <w:t xml:space="preserve">Figure 1</w:t>
      </w:r>
    </w:p>
    <w:p>
      <w:pPr>
        <w:pStyle w:val="Heading3"/>
      </w:pPr>
      <w:bookmarkStart w:id="42" w:name="figure-1a"/>
      <w:bookmarkEnd w:id="42"/>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4" w:name="figure-1b"/>
      <w:bookmarkEnd w:id="44"/>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(GNH)</w:t>
      </w:r>
    </w:p>
    <w:p>
      <w:pPr>
        <w:pStyle w:val="Heading3"/>
      </w:pPr>
      <w:bookmarkStart w:id="46" w:name="figure-1c"/>
      <w:bookmarkEnd w:id="46"/>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and selective feedbacks</w:t>
      </w:r>
    </w:p>
    <w:p>
      <w:pPr>
        <w:pStyle w:val="Heading3"/>
      </w:pPr>
      <w:bookmarkStart w:id="48" w:name="figure-1x"/>
      <w:bookmarkEnd w:id="48"/>
      <w:r>
        <w:t xml:space="preserve">Figure 1X</w:t>
      </w:r>
    </w:p>
    <w:p>
      <w:r>
        <w:drawing>
          <wp:inline>
            <wp:extent cx="5334000" cy="5334000"/>
            <wp:effectExtent b="0" l="0" r="0" t="0"/>
            <wp:docPr descr="" id="1" name="Picture"/>
            <a:graphic>
              <a:graphicData uri="http://schemas.openxmlformats.org/drawingml/2006/picture">
                <pic:pic>
                  <pic:nvPicPr>
                    <pic:cNvPr descr="../figures/Figure1X.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without negative niche construction</w:t>
      </w:r>
    </w:p>
    <w:p/>
    <w:p>
      <w:pPr>
        <w:pStyle w:val="Heading2"/>
      </w:pPr>
      <w:bookmarkStart w:id="50" w:name="figure-2"/>
      <w:bookmarkEnd w:id="50"/>
      <w:r>
        <w:t xml:space="preserve">Figure 2</w:t>
      </w:r>
    </w:p>
    <w:p>
      <w:r>
        <w:drawing>
          <wp:inline>
            <wp:extent cx="5334000" cy="3600779"/>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51"/>
                    <a:stretch>
                      <a:fillRect/>
                    </a:stretch>
                  </pic:blipFill>
                  <pic:spPr bwMode="auto">
                    <a:xfrm>
                      <a:off x="0" y="0"/>
                      <a:ext cx="5334000" cy="3600779"/>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52" w:name="figure-3"/>
      <w:bookmarkEnd w:id="52"/>
      <w:r>
        <w:t xml:space="preserve">Figure 3</w:t>
      </w:r>
    </w:p>
    <w:p>
      <w:r>
        <w:t xml:space="preserve">Mean fitness over time for the treatments shown in Figure 2</w:t>
      </w:r>
    </w:p>
    <w:p>
      <w:pPr>
        <w:pStyle w:val="Heading3"/>
      </w:pPr>
      <w:bookmarkStart w:id="53" w:name="figure-3a---fitness-for-base-case-niche-construction"/>
      <w:bookmarkEnd w:id="53"/>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5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Pr>
        <w:pStyle w:val="Heading3"/>
      </w:pPr>
      <w:bookmarkStart w:id="55" w:name="figure-3b---fitness-with-double-delta-no-epsilon"/>
      <w:bookmarkEnd w:id="55"/>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Pr>
        <w:pStyle w:val="Heading3"/>
      </w:pPr>
      <w:bookmarkStart w:id="57" w:name="figure-3c---fitness-with-no-negative-niche-construction-l5-a5"/>
      <w:bookmarkEnd w:id="57"/>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Pr>
        <w:pStyle w:val="Heading3"/>
      </w:pPr>
      <w:bookmarkStart w:id="59" w:name="figure-3d---fitness-with-extreme-negative-niche-construction-l1-a6"/>
      <w:bookmarkEnd w:id="59"/>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6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61" w:name="figure-4"/>
      <w:bookmarkEnd w:id="61"/>
      <w:r>
        <w:t xml:space="preserve">Figure 4</w:t>
      </w:r>
    </w:p>
    <w:p>
      <w:r>
        <w:t xml:space="preserve">Cooperators invade from single population</w:t>
      </w:r>
    </w:p>
    <w:p>
      <w:pPr>
        <w:pStyle w:val="Heading2"/>
      </w:pPr>
      <w:bookmarkStart w:id="62" w:name="figure-5"/>
      <w:bookmarkEnd w:id="62"/>
      <w:r>
        <w:t xml:space="preserve">Figure 5</w:t>
      </w:r>
    </w:p>
    <w:p>
      <w:r>
        <w:t xml:space="preserve">Defectors are kept at bay</w:t>
      </w:r>
    </w:p>
    <w:p>
      <w:pPr>
        <w:pStyle w:val="Heading2"/>
      </w:pPr>
      <w:bookmarkStart w:id="63" w:name="figure-6"/>
      <w:bookmarkEnd w:id="63"/>
      <w:r>
        <w:t xml:space="preserve">Figure 6</w:t>
      </w:r>
    </w:p>
    <w:p>
      <w:pPr>
        <w:pStyle w:val="Heading3"/>
      </w:pPr>
      <w:bookmarkStart w:id="64" w:name="figure-6a---effect-of-migration-rate-m"/>
      <w:bookmarkEnd w:id="64"/>
      <w:r>
        <w:t xml:space="preserve">Figure 6A - Effect of Migration Rate (m)</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6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Pr>
        <w:pStyle w:val="Heading3"/>
      </w:pPr>
      <w:bookmarkStart w:id="66" w:name="figure-6b---effect-of-public-good-benefit-smax-smin"/>
      <w:bookmarkEnd w:id="66"/>
      <w:r>
        <w:t xml:space="preserve">Figure 6B - Effect of Public Good Benefit (Smax-Smin)</w:t>
      </w:r>
    </w:p>
    <w:p/>
    <w:p>
      <w:pPr>
        <w:pStyle w:val="Heading1"/>
      </w:pPr>
      <w:bookmarkStart w:id="67" w:name="tables"/>
      <w:bookmarkEnd w:id="67"/>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8" w:name="references"/>
      <w:bookmarkEnd w:id="68"/>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9">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70">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3ea3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e07ba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hyperlink" Id="rId35" Target="Coopeative%20Niche%20Construction" TargetMode="External" /><Relationship Type="http://schemas.openxmlformats.org/officeDocument/2006/relationships/hyperlink" Id="rId69" Target="http://dx.doi.org/10.1038/ismej.2014.259" TargetMode="External" /><Relationship Type="http://schemas.openxmlformats.org/officeDocument/2006/relationships/hyperlink" Id="rId70"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5" Target="Coopeative%20Niche%20Construction" TargetMode="External" /><Relationship Type="http://schemas.openxmlformats.org/officeDocument/2006/relationships/hyperlink" Id="rId69" Target="http://dx.doi.org/10.1038/ismej.2014.259" TargetMode="External" /><Relationship Type="http://schemas.openxmlformats.org/officeDocument/2006/relationships/hyperlink" Id="rId70"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