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then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phenotypetype or some other phenotype is most adapted in the constructed environment. Under positive niche construction, selection favoring the constructor is reinforced, and evolution eventually stagnates. Under negative niche construction, the constructed environment favors a different phenotype than the constructor. In this latter case, populations find themselves continually chasing beneficial mutations as their adaptive landscape perpetually shifts.</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use this model to address whether niche construction can extend the Hankshaw effect, enabling cooperation to continue to hitchhike as populations continually adapt. As part of this, we focus on how niche construction influences local interactions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modify their local environment. As this process occurs, environmental changes feed back to affect selection. We perform simulations using this model to explore how niche construction affects this adaptation process and whether selective feedbacks enable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r>
                <m:rPr>
                  <m:sty m:val="p"/>
                </m:rPr>
                <m:t>cooperation</m:t>
              </m:r>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r>
                <m:rPr>
                  <m:sty m:val="p"/>
                </m:rPr>
                <m:t>adaptation to external env.</m:t>
              </m:r>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r>
                <m:rPr>
                  <m:sty m:val="p"/>
                </m:rPr>
                <m:t>adaptation to constructed env.</m:t>
              </m:r>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subpopulation will evolve different consecutive sequences. These different sequences represent the unique niches constructed by subpopulations.</w:t>
      </w:r>
    </w:p>
    <w:p>
      <w:pPr>
        <w:pStyle w:val="Heading3"/>
      </w:pPr>
      <w:bookmarkStart w:id="26" w:name="population-growth-and-the-benefit-of-cooperation"/>
      <w:bookmarkEnd w:id="26"/>
      <w:r>
        <w:t xml:space="preserve">Population Growth and the Benefit of Cooperation</w:t>
      </w:r>
    </w:p>
    <w:p>
      <w:r>
        <w:t xml:space="preserve">Cooperation benefits a subpopulation by enabling it to reach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subpopulations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over 2/3 of the replicate populations (</w:t>
      </w:r>
      <w:hyperlink w:anchor="fig2">
        <w:r>
          <w:rPr>
            <w:rStyle w:val="Link"/>
          </w:rPr>
          <w:t xml:space="preserve">Figure 2C</w:t>
        </w:r>
      </w:hyperlink>
      <w:r>
        <w:t xml:space="preserve">).</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fully-populated subpopulations. We find that simply increasing selective values does not enable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genotype that has fixed will always favor selection for a new genotype.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at a single patch in the center of an</w:t>
      </w:r>
      <w:r>
        <w:t xml:space="preserve"> </w:t>
      </w:r>
      <m:oMath>
        <m:r>
          <m:rPr>
            <m:sty m:val="p"/>
          </m:rPr>
          <m:t>11</m:t>
        </m:r>
        <m:r>
          <m:rPr>
            <m:sty m:val="p"/>
          </m:rPr>
          <m:t>×</m:t>
        </m:r>
        <m:r>
          <m:rPr>
            <m:sty m:val="p"/>
          </m:rPr>
          <m:t>11</m:t>
        </m:r>
      </m:oMath>
      <w:r>
        <w:t xml:space="preserve"> </w:t>
      </w:r>
      <w:r>
        <w:t xml:space="preserve">population of cooperator subpopulations,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7" w:name="the-rate-of-niche-construction-matters"/>
      <w:bookmarkEnd w:id="37"/>
      <w:r>
        <w:t xml:space="preserve">The Rate of Niche Construction Matters</w:t>
      </w:r>
    </w:p>
    <w:p>
      <w:r>
        <w:t xml:space="preserve">TODO: defector can invade a diverse population of cooperators, while adaptation to a matching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genotype constructs an environment in which a different genotype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5" w:name="fig3"/>
      <w:bookmarkEnd w:id="45"/>
      <w:r>
        <w:t xml:space="preserve">Figure 3</w:t>
      </w:r>
    </w:p>
    <w:p>
      <w:r>
        <w:drawing>
          <wp:inline>
            <wp:extent cx="5334000" cy="237978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79785"/>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w:t>
      </w:r>
      <w:r>
        <w:rPr>
          <w:b/>
        </w:rPr>
        <w:t xml:space="preserve">A</w:t>
      </w:r>
      <w:r>
        <w:t xml:space="preserve">) Niche construction enables cooperation to be maintained indefinitely. In the majority of populations (13/18), cooperation remained the dominant strategy.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Figure S1 shows results from simulations where this limitation is removed. (</w:t>
      </w:r>
      <w:r>
        <w:rPr>
          <w:b/>
        </w:rPr>
        <w:t xml:space="preserve">A</w:t>
      </w:r>
      <w:r>
        <w:t xml:space="preserve">) When cooperators and defectors are matched at their adaptive loci (i.e., genotypes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genotypes among populations over time for one representative simulation in which matched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it does not bear the costs of cooperation, it spreads (</w:t>
      </w:r>
      <m:oMath>
        <m:r>
          <m:rPr>
            <m:sty m:val="p"/>
          </m:rPr>
          <m:t>t</m:t>
        </m:r>
        <m:r>
          <m:rPr>
            <m:sty m:val="p"/>
          </m:rPr>
          <m:t>=</m:t>
        </m:r>
        <m:r>
          <m:rPr>
            <m:sty m:val="p"/>
          </m:rPr>
          <m:t>272</m:t>
        </m:r>
      </m:oMath>
      <w:r>
        <w:t xml:space="preserve">, second panel). However, one cooperator population gains an adaptation giving it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genotype, which can invade both defector populations and ancestral cooperator populations, can spread more quickly as populations with that genotype reach greater densities. Eventually, this strategy spreads and fixes in all populations (rightmost panel).</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400f5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