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df" ContentType="application/pdf"/>
  <Override PartName="/word/media/rId47.png" ContentType="image/png"/>
  <Override PartName="/word/media/rId49.png" ContentType="image/png"/>
  <Override PartName="/word/media/rId51.png" ContentType="image/png"/>
  <Override PartName="/word/media/rId53.pdf" ContentType="application/pdf"/>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We represent the</w:t>
      </w:r>
      <w:r>
        <w:t xml:space="preserve"> </w:t>
      </w:r>
      <w:r>
        <w:t xml:space="preserve">“</w:t>
      </w:r>
      <w:r>
        <w:t xml:space="preserve">niche</w:t>
      </w:r>
      <w:r>
        <w:t xml:space="preserve">”</w:t>
      </w:r>
      <w:r>
        <w:t xml:space="preserve"> </w:t>
      </w:r>
      <w:r>
        <w:t xml:space="preserve">implicitly based on the specific allelic states present in the subpopulation. Here, the specific alleles that are present at each locus matter.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Once allele</w:t>
      </w:r>
      <w:r>
        <w:t xml:space="preserve"> </w:t>
      </w:r>
      <m:oMath>
        <m:r>
          <m:rPr>
            <m:sty m:val="p"/>
          </m:rPr>
          <m:t>a</m:t>
        </m:r>
      </m:oMath>
      <w:r>
        <w:t xml:space="preserve"> </w:t>
      </w:r>
      <w:r>
        <w:t xml:space="preserve">has fixed in the subpopulation at locus</w:t>
      </w:r>
      <w:r>
        <w:t xml:space="preserve"> </w:t>
      </w:r>
      <m:oMath>
        <m:r>
          <m:rPr>
            <m:sty m:val="p"/>
          </m:rPr>
          <m:t>l</m:t>
        </m:r>
      </m:oMath>
      <w:r>
        <w:t xml:space="preserve">, allele</w:t>
      </w:r>
      <w:r>
        <w:t xml:space="preserve"> </w:t>
      </w:r>
      <m:oMath>
        <m:r>
          <m:rPr>
            <m:sty m:val="p"/>
          </m:rPr>
          <m:t>a</m:t>
        </m:r>
        <m:r>
          <m:rPr>
            <m:sty m:val="p"/>
          </m:rPr>
          <m:t>+</m:t>
        </m:r>
        <m:r>
          <m:rPr>
            <m:sty m:val="p"/>
          </m:rPr>
          <m:t>1</m:t>
        </m:r>
      </m:oMath>
      <w:r>
        <w:t xml:space="preserve"> </w:t>
      </w:r>
      <w:r>
        <w:t xml:space="preserve">becomes the only allele that confers fitness benefits 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to create empty patches. Each individual survives this bottleneck with probability</w:t>
      </w:r>
      <w:r>
        <w:t xml:space="preserve"> </w:t>
      </w:r>
      <m:oMath>
        <m:r>
          <m:rPr>
            <m:sty m:val="p"/>
          </m:rPr>
          <m:t>σ</m:t>
        </m:r>
      </m:oMath>
      <w:r>
        <w:t xml:space="preserve">. Starting from this state, simulations then proceed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at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negative-niche-construction-must-follow-a-path"/>
      <w:bookmarkEnd w:id="37"/>
      <w:r>
        <w:t xml:space="preserve">Negative Niche Construction Must Follow a Path</w:t>
      </w:r>
    </w:p>
    <w:p>
      <w:r>
        <w:rPr>
          <w:b/>
        </w:rPr>
        <w:t xml:space="preserve">TODO</w:t>
      </w:r>
      <w:r>
        <w:t xml:space="preserve">: Sorry, results will be here for the morning meeting!</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could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these adaptive opportunities, adaptation eventually grinds to a halt. Once this occurs, cooperators face the threat of invasion by isogenic defectors that arise through mutation. Since these defectors are equally adapted but do not bear the cost of cooperation, they quickly drive cooperators to extinction. Importantly,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engender these adaptations, defectors invade, and the cycle is broken.</w:t>
      </w:r>
    </w:p>
    <w:p>
      <w:r>
        <w:rPr>
          <w:b/>
        </w:rPr>
        <w:t xml:space="preserve">TODO: the rate of niche construction is crucial</w:t>
      </w:r>
    </w:p>
    <w:p>
      <w:pPr>
        <w:pStyle w:val="Heading2"/>
      </w:pPr>
      <w:bookmarkStart w:id="39" w:name="niche-construction-and-the-evolution-of-cooperation"/>
      <w:bookmarkEnd w:id="39"/>
      <w:r>
        <w:t xml:space="preserve">Niche Construction and the Evolution of Cooperation</w:t>
      </w:r>
    </w:p>
    <w:p>
      <w:r>
        <w:t xml:space="preserve">In our model, cooperation is orthogonal to niche construction, which allows us to focus on hitchhiking. However, by increasing the size of the local patch, this form of cooperation could itself be seen as a niche constructing behavior.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decoupled kin competition from kin selection in spatially-structured populations. Perhaps most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 Outside of the context of cooperation, studies have shown that niche construction can allow deleterious alleles to be maintained</w:t>
      </w:r>
      <w:r>
        <w:t xml:space="preserve"> </w:t>
      </w:r>
      <w:r>
        <w:t xml:space="preserve">(Laland</w:t>
      </w:r>
      <w:r>
        <w:t xml:space="preserve"> </w:t>
      </w:r>
      <w:r>
        <w:rPr>
          <w:i/>
        </w:rPr>
        <w:t xml:space="preserve">et al.</w:t>
      </w:r>
      <w:r>
        <w:t xml:space="preserve">, 1996, 1999)</w:t>
      </w:r>
      <w:r>
        <w:t xml:space="preserve">. However, cooperation, especially in competition against equally-adapted defectors, can be considered deleterious.</w:t>
      </w:r>
    </w:p>
    <w:p>
      <w:pPr>
        <w:pStyle w:val="Heading2"/>
      </w:pPr>
      <w:bookmarkStart w:id="40" w:name="evolution-at-multiple-timescales"/>
      <w:bookmarkEnd w:id="40"/>
      <w:r>
        <w:t xml:space="preserve">Evolution at Multiple Timescales</w:t>
      </w:r>
    </w:p>
    <w:p>
      <w:r>
        <w:t xml:space="preserve">In the model described by</w:t>
      </w:r>
      <w:r>
        <w:t xml:space="preserve"> </w:t>
      </w:r>
      <w:r>
        <w:t xml:space="preserve">Lehmann (2007)</w:t>
      </w:r>
      <w:r>
        <w:t xml:space="preserve">, the selective feedbacks produced by the cooperative, niche-constructing behavior only affected future generations. Because of this, kin competition was reduced, and cooperation instead benefitted descendants. Other studies, while not focusing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public goods, relatively few have addressed how the environmental changes created by public goods feed back to influence evolution. In these instances, environmental changes are likely to occur on different timescales than reproduction,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pPr>
        <w:pStyle w:val="Heading2"/>
      </w:pPr>
      <w:bookmarkStart w:id="41" w:name="cooperation-and-niche-construction-in-host-symbiont-co-evolution"/>
      <w:bookmarkEnd w:id="41"/>
      <w:r>
        <w:t xml:space="preserve">Cooperation and Niche Construction in Host-Symbiont Co-Evolution</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figures"/>
      <w:bookmarkEnd w:id="43"/>
      <w:r>
        <w:t xml:space="preserve">Figures</w:t>
      </w:r>
    </w:p>
    <w:p>
      <w:pPr>
        <w:pStyle w:val="Heading2"/>
      </w:pPr>
      <w:bookmarkStart w:id="44" w:name="fig1"/>
      <w:bookmarkEnd w:id="44"/>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6" w:name="fig2"/>
      <w:bookmarkEnd w:id="46"/>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7"/>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cooperation remained the dominant strategy. Individual populations are shown in Figure 3A.</w:t>
      </w:r>
    </w:p>
    <w:p/>
    <w:p>
      <w:pPr>
        <w:pStyle w:val="Heading2"/>
      </w:pPr>
      <w:bookmarkStart w:id="48" w:name="fig3"/>
      <w:bookmarkEnd w:id="48"/>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9"/>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50" w:name="fig4"/>
      <w:bookmarkEnd w:id="50"/>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1"/>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removed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 cooperator (stress alleles [6,2,3,4,5], see Figure 1) to displace a population of defectors when defectors cannot arise or adapt via mutation.</w:t>
      </w:r>
    </w:p>
    <w:p/>
    <w:p>
      <w:pPr>
        <w:pStyle w:val="Heading2"/>
      </w:pPr>
      <w:bookmarkStart w:id="52" w:name="fig5"/>
      <w:bookmarkEnd w:id="52"/>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which can invade both defector populations and ancestral cooperator populations, can spread more quickly due to its greater fitness (</w:t>
      </w:r>
      <m:oMath>
        <m:r>
          <m:rPr>
            <m:sty m:val="p"/>
          </m:rPr>
          <m:t>t</m:t>
        </m:r>
        <m:r>
          <m:rPr>
            <m:sty m:val="p"/>
          </m:rPr>
          <m:t>=</m:t>
        </m:r>
        <m:r>
          <m:rPr>
            <m:sty m:val="p"/>
          </m:rPr>
          <m:t>390</m:t>
        </m:r>
      </m:oMath>
      <w:r>
        <w:t xml:space="preserve">), and eventually fixes in the population (</w:t>
      </w:r>
      <m:oMath>
        <m:r>
          <m:rPr>
            <m:sty m:val="p"/>
          </m:rPr>
          <m:t>t</m:t>
        </m:r>
        <m:r>
          <m:rPr>
            <m:sty m:val="p"/>
          </m:rPr>
          <m:t>=</m:t>
        </m:r>
        <m:r>
          <m:rPr>
            <m:sty m:val="p"/>
          </m:rPr>
          <m:t>500</m:t>
        </m:r>
      </m:oMath>
      <w:r>
        <w:t xml:space="preserve">). TODO 690, 812, 900.</w:t>
      </w:r>
    </w:p>
    <w:p/>
    <w:p>
      <w:pPr>
        <w:pStyle w:val="Heading2"/>
      </w:pPr>
      <w:bookmarkStart w:id="54" w:name="fig6"/>
      <w:bookmarkEnd w:id="54"/>
      <w:r>
        <w:t xml:space="preserve">Figure 6</w:t>
      </w:r>
    </w:p>
    <w:p>
      <w:r>
        <w:rPr>
          <w:b/>
        </w:rPr>
        <w:t xml:space="preserve">Not All Niches are Created Equally.</w:t>
      </w:r>
      <w:r>
        <w:t xml:space="preserve"> </w:t>
      </w:r>
      <w:r>
        <w:t xml:space="preserve">(</w:t>
      </w:r>
      <w:r>
        <w:rPr>
          <w:b/>
        </w:rPr>
        <w:t xml:space="preserve">A</w:t>
      </w:r>
      <w:r>
        <w:t xml:space="preserve">) TODO: All negative niche construction (</w:t>
      </w:r>
      <w:r>
        <w:rPr>
          <w:b/>
        </w:rPr>
        <w:t xml:space="preserve">B</w:t>
      </w:r>
      <w:r>
        <w:t xml:space="preserve">) TODO: Increased mutation rate</w:t>
      </w:r>
    </w:p>
    <w:p>
      <w:r>
        <w:t xml:space="preserve">Coming soon…</w:t>
      </w:r>
    </w:p>
    <w:p/>
    <w:p/>
    <w:p>
      <w:pPr>
        <w:pStyle w:val="Heading2"/>
      </w:pPr>
      <w:bookmarkStart w:id="55" w:name="figS1"/>
      <w:bookmarkEnd w:id="55"/>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6"/>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7" w:name="tables"/>
      <w:bookmarkEnd w:id="57"/>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8" w:name="references"/>
      <w:bookmarkEnd w:id="58"/>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9">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0">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48a90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df"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df" /><Relationship Type="http://schemas.openxmlformats.org/officeDocument/2006/relationships/image" Id="rId56" Target="media/rId56.png" /><Relationship Type="http://schemas.openxmlformats.org/officeDocument/2006/relationships/hyperlink" Id="rId59" Target="http://dx.doi.org/10.1038/ismej.2014.259" TargetMode="External" /><Relationship Type="http://schemas.openxmlformats.org/officeDocument/2006/relationships/hyperlink" Id="rId60"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1038/ismej.2014.259" TargetMode="External" /><Relationship Type="http://schemas.openxmlformats.org/officeDocument/2006/relationships/hyperlink" Id="rId60"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