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3.png" ContentType="image/png"/>
  <Override PartName="/word/media/rId45.png" ContentType="image/png"/>
  <Override PartName="/word/media/rId48.png" ContentType="image/png"/>
  <Override PartName="/word/media/rId50.png" ContentType="image/png"/>
  <Override PartName="/word/media/rId52.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can gain a substantial leg up on defectors in an adaptive race when the cooperative behavior increases local population density, thus increasing the likelihood of acquiring beneficial non-social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Hankshaw and Kerr (2015)</w:t>
      </w:r>
      <w:r>
        <w:t xml:space="preserve"> </w:t>
      </w:r>
      <w:r>
        <w:t xml:space="preserve">demonstrated that cooperation can be maintained indefinitely when frequent environmental changes produce a steady stream of non-social adaptive opportunities. Although organisms typically find themselves in dynamic environments, change might not occur at a rate that provides sufficient adaptive opportunities to ensure long-term cooperator survival.</w:t>
      </w:r>
    </w:p>
    <w:p>
      <w:r>
        <w:t xml:space="preserve">In this work, we examine whether the changes in selection that arise as organisms modify their environment can create opportunities that allow cooperators to be maintained by hitchhiking. We expand upon the model presented in</w:t>
      </w:r>
      <w:r>
        <w:t xml:space="preserve"> </w:t>
      </w:r>
      <w:r>
        <w:t xml:space="preserve">Hankshaw and Kerr (2015)</w:t>
      </w:r>
      <w:r>
        <w:t xml:space="preserve">, by allowing populations to alter their local environment based on the the presence of different non-social adaptations. This niche construction creates feedback that increasingly favors the adaptations present in each population. We first examine how the intensity of these feedbacks affects the hitchhiking process. Because the production of public goods increases population density, populations containing cooperators will exert a greater influence on their environment. As a result, these environments will be more quickly brought to states where fitness is higher.</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2" w:name="materials-and-methods"/>
      <w:bookmarkEnd w:id="22"/>
      <w:r>
        <w:t xml:space="preserve">Materials and Methods</w:t>
      </w:r>
    </w:p>
    <w:p>
      <w:r>
        <w:t xml:space="preserve">We build upon the model described in</w:t>
      </w:r>
      <w:r>
        <w:t xml:space="preserve"> </w:t>
      </w:r>
      <w:r>
        <w:t xml:space="preserve">Hankshaw and Kerr (2015)</w:t>
      </w:r>
      <w:r>
        <w:t xml:space="preserve">, in which cooperators and defectors compete and evolve in a spatially-structured metapopulation of populations. Each of these populations grows to carrying capacity, mutates, and migrates to neighboring patches. During this process, populations adapt to their local environments. In our extended model, we allow these individuals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supports a population of zero or more individuals. Each individual in the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potential alleles. At each of these loci, the presence of a non-zero allele represents an adaptation to the environment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an adapted cooperator recoups the cost of cooperation.</w:t>
      </w:r>
    </w:p>
    <w:p>
      <w:r>
        <w:t xml:space="preserve">Organisms also influence their environment, which can feed back to influence selection. We model this as a form of frequency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t>
      </w:r>
      <w:r>
        <w:t xml:space="preserve">(note that we treat both adaptive loci and allelic states as circular, so the allelic state at locus 1 is affected by locus</w:t>
      </w:r>
      <w:r>
        <w:t xml:space="preserve"> </w:t>
      </w:r>
      <m:oMath>
        <m:r>
          <m:rPr>
            <m:sty m:val="p"/>
          </m:rPr>
          <m:t>L</m:t>
        </m:r>
      </m:oMath>
      <w:r>
        <w:t xml:space="preserve">, and allele 1 is best preceded by allele</w:t>
      </w:r>
      <w:r>
        <w:t xml:space="preserve"> </w:t>
      </w:r>
      <m:oMath>
        <m:sSub>
          <m:e>
            <m:r>
              <m:rPr>
                <m:sty m:val="p"/>
              </m:rPr>
              <m:t>a</m:t>
            </m:r>
          </m:e>
          <m:sub>
            <m:r>
              <m:rPr>
                <m:sty m:val="p"/>
              </m:rPr>
              <m:t>m</m:t>
            </m:r>
            <m:r>
              <m:rPr>
                <m:sty m:val="p"/>
              </m:rPr>
              <m:t>a</m:t>
            </m:r>
            <m:r>
              <m:rPr>
                <m:sty m:val="p"/>
              </m:rPr>
              <m:t>x</m:t>
            </m:r>
          </m:sub>
        </m:sSub>
      </m:oMath>
      <w:r>
        <w:t xml:space="preserve">). The slope of this increase is</w:t>
      </w:r>
      <w:r>
        <w:t xml:space="preserve"> </w:t>
      </w:r>
      <m:oMath>
        <m:r>
          <m:rPr>
            <m:sty m:val="p"/>
          </m:rPr>
          <m:t>ϵ</m:t>
        </m:r>
      </m:oMath>
      <w:r>
        <w:t xml:space="preserve">, which specifies the intensity of niche construction. As a consequence of this form of frequency dependence, genotypes with sequentially-increasing allelic states will tend to evolve. Because mutations are random, as described later,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in population</w:t>
      </w:r>
      <w:r>
        <w:t xml:space="preserve"> </w:t>
      </w:r>
      <m:oMath>
        <m:r>
          <m:rPr>
            <m:sty m:val="p"/>
          </m:rPr>
          <m:t>P</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sSub>
            <m:e>
              <m:r>
                <m:rPr>
                  <m:sty m:val="p"/>
                </m:rPr>
                <m:t>a</m:t>
              </m:r>
            </m:e>
            <m:sub>
              <m:r>
                <m:rPr>
                  <m:sty m:val="p"/>
                </m:rPr>
                <m:t>m</m:t>
              </m:r>
              <m:r>
                <m:rPr>
                  <m:sty m:val="p"/>
                </m:rPr>
                <m:t>a</m:t>
              </m:r>
              <m:r>
                <m:rPr>
                  <m:sty m:val="p"/>
                </m:rPr>
                <m:t>x</m:t>
              </m:r>
            </m:sub>
          </m:sSub>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1</m:t>
          </m:r>
          <m:r>
            <m:rPr>
              <m:sty m:val="p"/>
            </m:rPr>
            <m:t>)</m:t>
          </m:r>
        </m:oMath>
      </m:oMathPara>
    </w:p>
    <w:p>
      <w:r>
        <w:t xml:space="preserve">where</w:t>
      </w:r>
      <w:r>
        <w:t xml:space="preserve"> </w:t>
      </w:r>
      <m:oMath>
        <m:r>
          <m:rPr>
            <m:sty m:val="p"/>
          </m:rPr>
          <m:t>z</m:t>
        </m:r>
      </m:oMath>
      <w:r>
        <w:t xml:space="preserve"> </w:t>
      </w:r>
      <w:r>
        <w:t xml:space="preserve">is a baseline fitness,</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w:t>
      </w:r>
      <w:r>
        <w:t xml:space="preserve"> </w:t>
      </w:r>
      <m:oMath>
        <m:r>
          <m:rPr>
            <m:sty m:val="p"/>
          </m:rPr>
          <m:t>L</m:t>
        </m:r>
      </m:oMath>
      <w:r>
        <w:t xml:space="preserve"> </w:t>
      </w:r>
      <w:r>
        <w:t xml:space="preserve">is the number of adaptive loci, and</w:t>
      </w:r>
      <w:r>
        <w:t xml:space="preserve"> </w:t>
      </w:r>
      <m:oMath>
        <m:r>
          <m:rPr>
            <m:sty m:val="p"/>
          </m:rPr>
          <m:t>c</m:t>
        </m:r>
      </m:oMath>
      <w:r>
        <w:t xml:space="preserve"> </w:t>
      </w:r>
      <w:r>
        <w:t xml:space="preserve">is the cost of the cooperative allele. The function</w:t>
      </w:r>
      <w:r>
        <w:t xml:space="preserve"> </w:t>
      </w:r>
      <m:oMath>
        <m:sSub>
          <m:e>
            <m:r>
              <m:rPr>
                <m:sty m:val="p"/>
              </m:rPr>
              <m:t>I</m:t>
            </m:r>
          </m:e>
          <m:sub>
            <m:r>
              <m:rPr>
                <m:sty m:val="p"/>
              </m:rPr>
              <m:t>A</m:t>
            </m:r>
          </m:sub>
        </m:sSub>
      </m:oMath>
      <w:r>
        <w:t xml:space="preserve"> </w:t>
      </w:r>
      <w:r>
        <w:t xml:space="preserve">indicates whether allelic state</w:t>
      </w:r>
      <w:r>
        <w:t xml:space="preserve"> </w:t>
      </w:r>
      <m:oMath>
        <m:r>
          <m:rPr>
            <m:sty m:val="p"/>
          </m:rPr>
          <m:t>y</m:t>
        </m:r>
      </m:oMath>
      <w:r>
        <w:t xml:space="preserve"> </w:t>
      </w:r>
      <w:r>
        <w:t xml:space="preserve">is in</w:t>
      </w:r>
      <w:r>
        <w:t xml:space="preserve"> </w:t>
      </w:r>
      <m:oMath>
        <m:r>
          <m:rPr>
            <m:sty m:val="p"/>
          </m:rPr>
          <m:t>A</m:t>
        </m:r>
      </m:oMath>
      <w:r>
        <w:t xml:space="preserve"> </w:t>
      </w:r>
      <w:r>
        <w:t xml:space="preserve">(i.e., it is non-zero). The function</w:t>
      </w:r>
      <w:r>
        <w:t xml:space="preserve"> </w:t>
      </w:r>
      <m:oMath>
        <m:r>
          <m:rPr>
            <m:sty m:val="p"/>
          </m:rPr>
          <m:t>n</m:t>
        </m:r>
        <m:r>
          <m:rPr>
            <m:sty m:val="p"/>
          </m:rPr>
          <m:t>(</m:t>
        </m:r>
        <m:r>
          <m:rPr>
            <m:sty m:val="p"/>
          </m:rPr>
          <m:t>a</m:t>
        </m:r>
        <m:r>
          <m:rPr>
            <m:sty m:val="p"/>
          </m:rPr>
          <m:t>,</m:t>
        </m:r>
        <m:r>
          <m:rPr>
            <m:sty m:val="p"/>
          </m:rPr>
          <m:t>l</m:t>
        </m:r>
        <m:r>
          <m:rPr>
            <m:sty m:val="p"/>
          </m:rPr>
          <m:t>)</m:t>
        </m:r>
      </m:oMath>
      <w:r>
        <w:t xml:space="preserve"> </w:t>
      </w:r>
      <w:r>
        <w:t xml:space="preserve">gives the number of individuals in the population with allelic state</w:t>
      </w:r>
      <w:r>
        <w:t xml:space="preserve"> </w:t>
      </w:r>
      <m:oMath>
        <m:r>
          <m:rPr>
            <m:sty m:val="p"/>
          </m:rPr>
          <m:t>a</m:t>
        </m:r>
      </m:oMath>
      <w:r>
        <w:t xml:space="preserve"> </w:t>
      </w:r>
      <w:r>
        <w:t xml:space="preserve">at the locus</w:t>
      </w:r>
      <w:r>
        <w:t xml:space="preserve"> </w:t>
      </w:r>
      <m:oMath>
        <m:r>
          <m:rPr>
            <m:sty m:val="p"/>
          </m:rPr>
          <m:t>l</m:t>
        </m:r>
      </m:oMath>
      <w:r>
        <w:t xml:space="preserve"> </w:t>
      </w:r>
      <w:r>
        <w:t xml:space="preserve">(Equation 2), and</w:t>
      </w:r>
      <w:r>
        <w:t xml:space="preserve"> </w:t>
      </w:r>
      <m:oMath>
        <m:r>
          <m:rPr>
            <m:sty m:val="p"/>
          </m:rPr>
          <m:t>t</m:t>
        </m:r>
        <m:r>
          <m:rPr>
            <m:sty m:val="p"/>
          </m:rPr>
          <m:t>h</m:t>
        </m:r>
        <m:r>
          <m:rPr>
            <m:sty m:val="p"/>
          </m:rPr>
          <m:t>e</m:t>
        </m:r>
        <m:r>
          <m:rPr>
            <m:sty m:val="p"/>
          </m:rPr>
          <m:t>f</m:t>
        </m:r>
        <m:r>
          <m:rPr>
            <m:sty m:val="p"/>
          </m:rPr>
          <m:t>u</m:t>
        </m:r>
        <m:r>
          <m:rPr>
            <m:sty m:val="p"/>
          </m:rPr>
          <m:t>n</m:t>
        </m:r>
        <m:r>
          <m:rPr>
            <m:sty m:val="p"/>
          </m:rPr>
          <m:t>c</m:t>
        </m:r>
        <m:r>
          <m:rPr>
            <m:sty m:val="p"/>
          </m:rPr>
          <m:t>t</m:t>
        </m:r>
        <m:r>
          <m:rPr>
            <m:sty m:val="p"/>
          </m:rPr>
          <m:t>i</m:t>
        </m:r>
        <m:r>
          <m:rPr>
            <m:sty m:val="p"/>
          </m:rPr>
          <m:t>o</m:t>
        </m:r>
        <m:r>
          <m:rPr>
            <m:sty m:val="p"/>
          </m:rPr>
          <m:t>n</m:t>
        </m:r>
        <m:r>
          <m:rPr>
            <m:sty m:val="p"/>
          </m:rPr>
          <m:t>β</m:t>
        </m:r>
        <m:r>
          <m:rPr>
            <m:sty m:val="p"/>
          </m:rPr>
          <m:t>(</m:t>
        </m:r>
        <m:r>
          <m:rPr>
            <m:sty m:val="p"/>
          </m:rPr>
          <m:t>x</m:t>
        </m:r>
        <m:r>
          <m:rPr>
            <m:sty m:val="p"/>
          </m:rPr>
          <m:t>,</m:t>
        </m:r>
        <m:sSub>
          <m:e>
            <m:r>
              <m:rPr>
                <m:sty m:val="p"/>
              </m:rPr>
              <m:t>x</m:t>
            </m:r>
          </m:e>
          <m:sub>
            <m:r>
              <m:rPr>
                <m:sty m:val="p"/>
              </m:rPr>
              <m:t>m</m:t>
            </m:r>
            <m:r>
              <m:rPr>
                <m:sty m:val="p"/>
              </m:rPr>
              <m:t>a</m:t>
            </m:r>
            <m:r>
              <m:rPr>
                <m:sty m:val="p"/>
              </m:rPr>
              <m:t>x</m:t>
            </m:r>
          </m:sub>
        </m:sSub>
        <m:r>
          <m:rPr>
            <m:sty m:val="p"/>
          </m:rPr>
          <m:t>)</m:t>
        </m:r>
      </m:oMath>
      <w:r>
        <w:t xml:space="preserve"> </w:t>
      </w:r>
      <w:r>
        <w:t xml:space="preserve">gives the value below some value</w:t>
      </w:r>
      <w:r>
        <w:t xml:space="preserve"> </w:t>
      </w:r>
      <m:oMath>
        <m:r>
          <m:rPr>
            <m:sty m:val="p"/>
          </m:rPr>
          <m:t>x</m:t>
        </m:r>
      </m:oMath>
      <w:r>
        <w:t xml:space="preserve"> </w:t>
      </w:r>
      <w:r>
        <w:t xml:space="preserve">in the circular set</w:t>
      </w:r>
      <w:r>
        <w:t xml:space="preserve"> </w:t>
      </w:r>
      <m:oMath>
        <m:r>
          <m:rPr>
            <m:sty m:val="p"/>
          </m:rPr>
          <m:t>{</m:t>
        </m:r>
        <m:r>
          <m:rPr>
            <m:sty m:val="p"/>
          </m:rPr>
          <m:t>1</m:t>
        </m:r>
        <m:r>
          <m:rPr>
            <m:sty m:val="p"/>
          </m:rPr>
          <m:t>,</m:t>
        </m:r>
        <m:r>
          <m:rPr>
            <m:sty m:val="p"/>
          </m:rPr>
          <m:t>…</m:t>
        </m:r>
        <m:r>
          <m:rPr>
            <m:sty m:val="p"/>
          </m:rPr>
          <m:t>,</m:t>
        </m:r>
        <m:sSub>
          <m:e>
            <m:r>
              <m:rPr>
                <m:sty m:val="p"/>
              </m:rPr>
              <m:t>x</m:t>
            </m:r>
          </m:e>
          <m:sub>
            <m:r>
              <m:rPr>
                <m:sty m:val="p"/>
              </m:rPr>
              <m:t>m</m:t>
            </m:r>
            <m:r>
              <m:rPr>
                <m:sty m:val="p"/>
              </m:rPr>
              <m:t>a</m:t>
            </m:r>
            <m:r>
              <m:rPr>
                <m:sty m:val="p"/>
              </m:rPr>
              <m:t>x</m:t>
            </m:r>
          </m:sub>
        </m:sSub>
        <m:r>
          <m:rPr>
            <m:sty m:val="p"/>
          </m:rPr>
          <m:t>}</m:t>
        </m:r>
      </m:oMath>
      <w:r>
        <w:t xml:space="preserve"> </w:t>
      </w:r>
      <w:r>
        <w:t xml:space="preserve">(Equation 3).</w:t>
      </w:r>
    </w:p>
    <w:p>
      <m:oMathPara>
        <m:oMathParaPr>
          <m:jc m:val="center"/>
        </m:oMathParaPr>
        <m:oMath>
          <m:r>
            <m:rPr>
              <m:sty m:val="p"/>
            </m:rPr>
            <m:t>n</m:t>
          </m:r>
          <m:r>
            <m:rPr>
              <m:sty m:val="p"/>
            </m:rPr>
            <m:t>(</m:t>
          </m:r>
          <m:r>
            <m:rPr>
              <m:sty m:val="p"/>
            </m:rPr>
            <m:t>a</m:t>
          </m:r>
          <m:r>
            <m:rPr>
              <m:sty m:val="p"/>
            </m:rPr>
            <m:t>,</m:t>
          </m:r>
          <m:r>
            <m:rPr>
              <m:sty m:val="p"/>
            </m:rPr>
            <m:t>l</m:t>
          </m:r>
          <m:r>
            <m:rPr>
              <m:sty m:val="p"/>
            </m:rPr>
            <m:t>)</m:t>
          </m:r>
          <m:r>
            <m:rPr>
              <m:sty m:val="p"/>
            </m:rPr>
            <m:t>=</m:t>
          </m:r>
          <m:nary>
            <m:naryPr>
              <m:chr m:val="∑"/>
              <m:limLoc m:val="undOvr"/>
              <m:supHide m:val="on"/>
              <m:supHide m:val="on"/>
            </m:naryPr>
            <m:e>
              <m:sSub>
                <m:e>
                  <m:r>
                    <m:rPr>
                      <m:sty m:val="p"/>
                    </m:rPr>
                    <m:t>I</m:t>
                  </m:r>
                </m:e>
                <m:sub>
                  <m:sSub>
                    <m:e>
                      <m:r>
                        <m:rPr>
                          <m:sty m:val="p"/>
                        </m:rPr>
                        <m:t>a</m:t>
                      </m:r>
                    </m:e>
                    <m:sub>
                      <m:r>
                        <m:rPr>
                          <m:sty m:val="p"/>
                        </m:rPr>
                        <m:t>g</m:t>
                      </m:r>
                      <m:r>
                        <m:rPr>
                          <m:sty m:val="p"/>
                        </m:rPr>
                        <m:t>,</m:t>
                      </m:r>
                      <m:r>
                        <m:rPr>
                          <m:sty m:val="p"/>
                        </m:rPr>
                        <m:t>l</m:t>
                      </m:r>
                    </m:sub>
                  </m:sSub>
                </m:sub>
              </m:sSub>
            </m:e>
            <m:sub/>
            <m:sup>
              <m:r>
                <m:rPr>
                  <m:sty m:val="p"/>
                </m:rPr>
                <m:t>i</m:t>
              </m:r>
              <m:r>
                <m:rPr>
                  <m:sty m:val="p"/>
                </m:rPr>
                <m:t>∈</m:t>
              </m:r>
              <m:r>
                <m:rPr>
                  <m:sty m:val="p"/>
                </m:rPr>
                <m:t>P</m:t>
              </m:r>
            </m:sup>
          </m:nary>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  </m:t>
          </m:r>
          <m:r>
            <m:rPr>
              <m:sty m:val="p"/>
            </m:rPr>
            <m:t>(</m:t>
          </m:r>
          <m:r>
            <m:rPr>
              <m:sty m:val="p"/>
            </m:rPr>
            <m:t>2</m:t>
          </m:r>
          <m:r>
            <m:rPr>
              <m:sty m:val="p"/>
            </m:rPr>
            <m:t>)</m:t>
          </m:r>
        </m:oMath>
      </m:oMathPara>
    </w:p>
    <w:p>
      <w:r>
        <w:t xml:space="preserve">Here,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j</m:t>
        </m:r>
        <m:r>
          <m:rPr>
            <m:sty m:val="p"/>
          </m:rPr>
          <m:t>)</m:t>
        </m:r>
      </m:oMath>
      <w:r>
        <w:t xml:space="preserve"> </w:t>
      </w:r>
      <w:r>
        <w:t xml:space="preserve">is the genotype of individual</w:t>
      </w:r>
      <w:r>
        <w:t xml:space="preserve"> </w:t>
      </w:r>
      <m:oMath>
        <m:r>
          <m:rPr>
            <m:sty m:val="p"/>
          </m:rPr>
          <m:t>j</m:t>
        </m:r>
      </m:oMath>
      <w:r>
        <w:t xml:space="preserve">.</w:t>
      </w:r>
    </w:p>
    <w:p>
      <w:r>
        <w:t xml:space="preserve">$$ \beta(x, x_{max}) = \{(x - 2 + x_{max}) \bmod x_{max}\} + 1 \qquad (3)$$</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5</m:t>
          </m:r>
          <m:r>
            <m:rPr>
              <m:sty m:val="p"/>
            </m:rPr>
            <m:t>)</m:t>
          </m:r>
        </m:oMath>
      </m:oMathPara>
    </w:p>
    <w:p>
      <w:r>
        <w:t xml:space="preserve">Here,</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 and</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its fitness (see Equation 1).</w:t>
      </w:r>
      <w:r>
        <w:t xml:space="preserve"> </w:t>
      </w:r>
      <m:oMath>
        <m:sSub>
          <m:e>
            <m:r>
              <m:rPr>
                <m:sty m:val="p"/>
              </m:rPr>
              <m:t>π</m:t>
            </m:r>
          </m:e>
          <m:sub>
            <m:r>
              <m:rPr>
                <m:sty m:val="p"/>
              </m:rPr>
              <m:t>i</m:t>
            </m:r>
          </m:sub>
        </m:sSub>
      </m:oMath>
      <w:r>
        <w:t xml:space="preserve"> </w:t>
      </w:r>
      <w:r>
        <w:t xml:space="preserve">therefore reflects that an individual’s ability to persist is proportional to its fitness relative to others’.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and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6</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 Because we define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allelic states is equally likely to arise via mutation at a given locus.</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w:t>
      </w:r>
      <m:oMath>
        <m:r>
          <m:rPr>
            <m:sty m:val="p"/>
          </m:rPr>
          <m:t>∀</m:t>
        </m:r>
        <m:r>
          <m:rPr>
            <m:sty m:val="p"/>
          </m:rPr>
          <m:t>i</m:t>
        </m:r>
        <m:r>
          <m:rPr>
            <m:sty m:val="p"/>
          </m:rPr>
          <m:t>∈</m:t>
        </m:r>
        <m:r>
          <m:rPr>
            <m:sty m:val="p"/>
          </m:rPr>
          <m:t>P</m:t>
        </m:r>
        <m:r>
          <m:rPr>
            <m:sty m:val="p"/>
          </m:rPr>
          <m:t>,</m:t>
        </m:r>
        <m:r>
          <m:rPr>
            <m:sty m:val="p"/>
          </m:rPr>
          <m:t>l</m:t>
        </m:r>
        <m:r>
          <m:rPr>
            <m:sty m:val="p"/>
          </m:rPr>
          <m:t>∈</m:t>
        </m:r>
        <m:r>
          <m:rPr>
            <m:sty m:val="p"/>
          </m:rPr>
          <m:t>{</m:t>
        </m:r>
        <m:r>
          <m:rPr>
            <m:sty m:val="p"/>
          </m:rPr>
          <m:t>1</m:t>
        </m:r>
        <m:r>
          <m:rPr>
            <m:sty m:val="p"/>
          </m:rPr>
          <m:t>,</m:t>
        </m:r>
        <m:r>
          <m:rPr>
            <m:sty m:val="p"/>
          </m:rPr>
          <m:t>…</m:t>
        </m:r>
        <m:r>
          <m:rPr>
            <m:sty m:val="p"/>
          </m:rPr>
          <m:t>,</m:t>
        </m:r>
        <m:r>
          <m:rPr>
            <m:sty m:val="p"/>
          </m:rPr>
          <m:t>L</m:t>
        </m:r>
        <m:r>
          <m:rPr>
            <m:sty m:val="p"/>
          </m:rPr>
          <m:t>}</m:t>
        </m:r>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5" w:name="results"/>
      <w:bookmarkEnd w:id="25"/>
      <w:r>
        <w:t xml:space="preserve">Results</w:t>
      </w:r>
    </w:p>
    <w:p>
      <w:pPr>
        <w:pStyle w:val="Heading2"/>
      </w:pPr>
      <w:bookmarkStart w:id="26" w:name="niche-construction-prolongs-cooperator-survival"/>
      <w:bookmarkEnd w:id="26"/>
      <w:r>
        <w:t xml:space="preserve">Niche construction prolongs cooperator survival</w:t>
      </w:r>
    </w:p>
    <w:p>
      <w:r>
        <w:t xml:space="preserve">“</w:t>
      </w:r>
      <w:r>
        <w:t xml:space="preserve">cooperator presence</w:t>
      </w:r>
      <w:r>
        <w:t xml:space="preserve">”</w:t>
      </w:r>
      <w:r>
        <w:t xml:space="preserve"> </w:t>
      </w:r>
      <w:r>
        <w:t xml:space="preserve">greater in NC runs than with no-NC (GNH)</w:t>
      </w:r>
    </w:p>
    <w:p>
      <w:pPr>
        <w:pStyle w:val="Heading2"/>
      </w:pPr>
      <w:bookmarkStart w:id="27" w:name="negative-niche-construction-helps"/>
      <w:bookmarkEnd w:id="27"/>
      <w:r>
        <w:t xml:space="preserve">Negative Niche construction helps</w:t>
      </w:r>
    </w:p>
    <w:p>
      <w:r>
        <w:t xml:space="preserve">Runs with wraparound persist indefinitely, while those without do not.</w:t>
      </w:r>
    </w:p>
    <w:p>
      <w:pPr>
        <w:pStyle w:val="Heading2"/>
      </w:pPr>
      <w:bookmarkStart w:id="28" w:name="nc-preventslimits-defector-invasion"/>
      <w:bookmarkEnd w:id="28"/>
      <w:r>
        <w:t xml:space="preserve">NC Prevents/Limits Defector invasion</w:t>
      </w:r>
    </w:p>
    <w:p>
      <w:pPr>
        <w:pStyle w:val="Heading2"/>
      </w:pPr>
      <w:bookmarkStart w:id="29" w:name="nc-enables-cooperator-spread-by-exporting-environment"/>
      <w:bookmarkEnd w:id="29"/>
      <w:r>
        <w:t xml:space="preserve">NC Enables Cooperator Spread by</w:t>
      </w:r>
      <w:r>
        <w:t xml:space="preserve"> </w:t>
      </w:r>
      <w:r>
        <w:t xml:space="preserve">“</w:t>
      </w:r>
      <w:r>
        <w:t xml:space="preserve">exporting</w:t>
      </w:r>
      <w:r>
        <w:t xml:space="preserve">”</w:t>
      </w:r>
      <w:r>
        <w:t xml:space="preserve"> </w:t>
      </w:r>
      <w:r>
        <w:t xml:space="preserve">environment</w:t>
      </w:r>
    </w:p>
    <w:p>
      <w:pPr>
        <w:pStyle w:val="Heading1"/>
      </w:pPr>
      <w:bookmarkStart w:id="30" w:name="discussion"/>
      <w:bookmarkEnd w:id="30"/>
      <w:r>
        <w:t xml:space="preserve">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3"/>
          <w:ilvl w:val="1"/>
        </w:numPr>
      </w:pPr>
      <w:r>
        <w:t xml:space="preserve">Rodrigues (2012)</w:t>
      </w:r>
    </w:p>
    <w:p>
      <w:pPr>
        <w:pStyle w:val="Compact"/>
        <w:numPr>
          <w:numId w:val="1003"/>
          <w:ilvl w:val="1"/>
        </w:numPr>
      </w:pPr>
      <w:r>
        <w:t xml:space="preserve">Dumas and Kümmerli (2010)</w:t>
      </w:r>
    </w:p>
    <w:p>
      <w:pPr>
        <w:pStyle w:val="Compact"/>
        <w:numPr>
          <w:numId w:val="1003"/>
          <w:ilvl w:val="1"/>
        </w:numPr>
      </w:pPr>
      <w:r>
        <w:t xml:space="preserve">Kümmerli and Brown (2010)</w:t>
      </w:r>
    </w:p>
    <w:p>
      <w:pPr>
        <w:pStyle w:val="Compact"/>
        <w:numPr>
          <w:numId w:val="1003"/>
          <w:ilvl w:val="1"/>
        </w:numPr>
      </w:pPr>
      <w:r>
        <w:t xml:space="preserve">Darch/Diggle</w:t>
      </w:r>
    </w:p>
    <w:p>
      <w:pPr>
        <w:pStyle w:val="Compact"/>
        <w:numPr>
          <w:numId w:val="1003"/>
          <w:ilvl w:val="1"/>
        </w:numPr>
      </w:pPr>
      <w:r>
        <w:t xml:space="preserve">QS?</w:t>
      </w:r>
    </w:p>
    <w:p>
      <w:pPr>
        <w:pStyle w:val="Compact"/>
        <w:numPr>
          <w:numId w:val="1003"/>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31" w:name="public-goods"/>
      <w:bookmarkEnd w:id="31"/>
      <w:r>
        <w:t xml:space="preserve">Public Goods</w:t>
      </w:r>
    </w:p>
    <w:p>
      <w:r>
        <w:t xml:space="preserve">TODO: merge this in with the</w:t>
      </w:r>
      <w:r>
        <w:t xml:space="preserve"> </w:t>
      </w:r>
      <w:r>
        <w:t xml:space="preserve">“</w:t>
      </w:r>
      <w:r>
        <w:t xml:space="preserve">Cooperative Niche Construction</w:t>
      </w:r>
      <w:r>
        <w:t xml:space="preserve">”</w:t>
      </w:r>
      <w:r>
        <w:t xml:space="preserve"> </w:t>
      </w:r>
      <w:r>
        <w:t xml:space="preserve">section</w:t>
      </w:r>
      <w:r>
        <w:t xml:space="preserve"> </w:t>
      </w:r>
      <w:hyperlink r:id="rId32">
        <w:r>
          <w:rPr>
            <w:rStyle w:val="Link"/>
          </w:rPr>
          <w:t xml:space="preserve">TEST</w:t>
        </w:r>
      </w:hyperlink>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33" w:name="primacyrecency"/>
      <w:bookmarkEnd w:id="33"/>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1,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34" w:name="cooperative-niche-construction"/>
      <w:bookmarkEnd w:id="34"/>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5" w:name="host-symbiont"/>
      <w:bookmarkEnd w:id="35"/>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6" w:name="acknowledgments"/>
      <w:bookmarkEnd w:id="36"/>
      <w:r>
        <w:t xml:space="preserve">Acknowledgments</w:t>
      </w:r>
    </w:p>
    <w:p>
      <w:pPr>
        <w:pStyle w:val="Compact"/>
        <w:numPr>
          <w:numId w:val="1004"/>
          <w:ilvl w:val="0"/>
        </w:numPr>
      </w:pPr>
      <w:r>
        <w:t xml:space="preserve">TODO: Organizers?</w:t>
      </w:r>
    </w:p>
    <w:p>
      <w:pPr>
        <w:pStyle w:val="Compact"/>
        <w:numPr>
          <w:numId w:val="1004"/>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7" w:name="figures"/>
      <w:bookmarkEnd w:id="37"/>
      <w:r>
        <w:t xml:space="preserve">Figures</w:t>
      </w:r>
    </w:p>
    <w:p>
      <w:pPr>
        <w:pStyle w:val="Heading2"/>
      </w:pPr>
      <w:bookmarkStart w:id="38" w:name="figure-1"/>
      <w:bookmarkEnd w:id="38"/>
      <w:r>
        <w:t xml:space="preserve">Figure 1</w:t>
      </w:r>
    </w:p>
    <w:p>
      <w:pPr>
        <w:pStyle w:val="Heading3"/>
      </w:pPr>
      <w:bookmarkStart w:id="39" w:name="figure-1a"/>
      <w:bookmarkEnd w:id="39"/>
      <w:r>
        <w:t xml:space="preserve">Figure 1A</w:t>
      </w:r>
    </w:p>
    <w:p>
      <w:r>
        <w:drawing>
          <wp:inline>
            <wp:extent cx="5334000" cy="5334000"/>
            <wp:effectExtent b="0" l="0" r="0" t="0"/>
            <wp:docPr descr="" id="1" name="Picture"/>
            <a:graphic>
              <a:graphicData uri="http://schemas.openxmlformats.org/drawingml/2006/picture">
                <pic:pic>
                  <pic:nvPicPr>
                    <pic:cNvPr descr="../figures/Figure1A.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when there are no opportunities for non-social adaptation</w:t>
      </w:r>
    </w:p>
    <w:p/>
    <w:p>
      <w:pPr>
        <w:pStyle w:val="Heading3"/>
      </w:pPr>
      <w:bookmarkStart w:id="41" w:name="figure-1b"/>
      <w:bookmarkEnd w:id="41"/>
      <w:r>
        <w:t xml:space="preserve">Figure 1B</w:t>
      </w:r>
    </w:p>
    <w:p>
      <w:r>
        <w:t xml:space="preserve">Proportion of cooperators over time with non-social adaptation</w:t>
      </w:r>
    </w:p>
    <w:p>
      <w:pPr>
        <w:pStyle w:val="Heading3"/>
      </w:pPr>
      <w:bookmarkStart w:id="42" w:name="figure-1c"/>
      <w:bookmarkEnd w:id="42"/>
      <w:r>
        <w:t xml:space="preserve">Figure 1C</w:t>
      </w:r>
    </w:p>
    <w:p>
      <w:r>
        <w:t xml:space="preserve">Proportion of cooperators over time with non-social adaptation and niche construction</w:t>
      </w:r>
      <w:r>
        <w:t xml:space="preserve"> </w:t>
      </w:r>
      <w:r>
        <w:drawing>
          <wp:inline>
            <wp:extent cx="5334000" cy="5334000"/>
            <wp:effectExtent b="0" l="0" r="0" t="0"/>
            <wp:docPr descr="" id="1" name="Picture"/>
            <a:graphic>
              <a:graphicData uri="http://schemas.openxmlformats.org/drawingml/2006/picture">
                <pic:pic>
                  <pic:nvPicPr>
                    <pic:cNvPr descr="../figures/Figure1C.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
      <w:pPr>
        <w:pStyle w:val="Heading2"/>
      </w:pPr>
      <w:bookmarkStart w:id="44" w:name="figure-2"/>
      <w:bookmarkEnd w:id="44"/>
      <w:r>
        <w:t xml:space="preserve">Figure 2</w:t>
      </w:r>
    </w:p>
    <w:p>
      <w:r>
        <w:drawing>
          <wp:inline>
            <wp:extent cx="5334000" cy="3475720"/>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45"/>
                    <a:stretch>
                      <a:fillRect/>
                    </a:stretch>
                  </pic:blipFill>
                  <pic:spPr bwMode="auto">
                    <a:xfrm>
                      <a:off x="0" y="0"/>
                      <a:ext cx="5334000" cy="3475720"/>
                    </a:xfrm>
                    <a:prstGeom prst="rect">
                      <a:avLst/>
                    </a:prstGeom>
                    <a:noFill/>
                    <a:ln w="9525">
                      <a:noFill/>
                      <a:headEnd/>
                      <a:tailEnd/>
                    </a:ln>
                  </pic:spPr>
                </pic:pic>
              </a:graphicData>
            </a:graphic>
          </wp:inline>
        </w:drawing>
      </w:r>
    </w:p>
    <w:p>
      <w:pPr>
        <w:pStyle w:val="ImageCaption"/>
      </w:pPr>
      <w:r>
        <w:t xml:space="preserve">Cooperator Presence TODO</w:t>
      </w:r>
    </w:p>
    <w:p/>
    <w:p>
      <w:pPr>
        <w:pStyle w:val="Heading2"/>
      </w:pPr>
      <w:bookmarkStart w:id="46" w:name="figure-3"/>
      <w:bookmarkEnd w:id="46"/>
      <w:r>
        <w:t xml:space="preserve">Figure 3</w:t>
      </w:r>
    </w:p>
    <w:p>
      <w:r>
        <w:t xml:space="preserve">Mean fitness over time for the treatments shown in Figure 2</w:t>
      </w:r>
    </w:p>
    <w:p>
      <w:pPr>
        <w:pStyle w:val="Heading3"/>
      </w:pPr>
      <w:bookmarkStart w:id="47" w:name="figure-3a---fitness-for-base-case-niche-construction"/>
      <w:bookmarkEnd w:id="47"/>
      <w:r>
        <w:t xml:space="preserve">Figure 3A - Fitness for base case: niche construction</w:t>
      </w:r>
    </w:p>
    <w:p>
      <w:r>
        <w:drawing>
          <wp:inline>
            <wp:extent cx="5334000" cy="3295227"/>
            <wp:effectExtent b="0" l="0" r="0" t="0"/>
            <wp:docPr descr="" id="1" name="Picture"/>
            <a:graphic>
              <a:graphicData uri="http://schemas.openxmlformats.org/drawingml/2006/picture">
                <pic:pic>
                  <pic:nvPicPr>
                    <pic:cNvPr descr="../figures/Figure3A.png" id="0" name="Picture"/>
                    <pic:cNvPicPr>
                      <a:picLocks noChangeArrowheads="1" noChangeAspect="1"/>
                    </pic:cNvPicPr>
                  </pic:nvPicPr>
                  <pic:blipFill>
                    <a:blip r:embed="rId48"/>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TODO</w:t>
      </w:r>
    </w:p>
    <w:p>
      <w:pPr>
        <w:pStyle w:val="Heading3"/>
      </w:pPr>
      <w:bookmarkStart w:id="49" w:name="figure-3b---fitness-with-double-delta-no-epsilon"/>
      <w:bookmarkEnd w:id="49"/>
      <w:r>
        <w:t xml:space="preserve">Figure 3B - Fitness with double delta, no epsilon</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50"/>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double delta, no epsilon TODO</w:t>
      </w:r>
    </w:p>
    <w:p>
      <w:pPr>
        <w:pStyle w:val="Heading3"/>
      </w:pPr>
      <w:bookmarkStart w:id="51" w:name="figure-3c---fitness-with-no-negative-niche-construction-l5-a5"/>
      <w:bookmarkEnd w:id="51"/>
      <w:r>
        <w:t xml:space="preserve">Figure 3C - Fitness with no negative niche construction (L=5, A=5)</w:t>
      </w:r>
    </w:p>
    <w:p>
      <w:r>
        <w:drawing>
          <wp:inline>
            <wp:extent cx="5334000" cy="3295227"/>
            <wp:effectExtent b="0" l="0" r="0" t="0"/>
            <wp:docPr descr="" id="1" name="Picture"/>
            <a:graphic>
              <a:graphicData uri="http://schemas.openxmlformats.org/drawingml/2006/picture">
                <pic:pic>
                  <pic:nvPicPr>
                    <pic:cNvPr descr="../figures/Figure3C.png" id="0" name="Picture"/>
                    <pic:cNvPicPr>
                      <a:picLocks noChangeArrowheads="1" noChangeAspect="1"/>
                    </pic:cNvPicPr>
                  </pic:nvPicPr>
                  <pic:blipFill>
                    <a:blip r:embed="rId52"/>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no negative niche construction TODO</w:t>
      </w:r>
    </w:p>
    <w:p>
      <w:pPr>
        <w:pStyle w:val="Heading3"/>
      </w:pPr>
      <w:bookmarkStart w:id="53" w:name="figure-3d---fitness-with-extreme-negative-niche-construction-l1-a6"/>
      <w:bookmarkEnd w:id="53"/>
      <w:r>
        <w:t xml:space="preserve">Figure 3D - Fitness with extreme negative niche construction (L=1, A=6)</w:t>
      </w:r>
    </w:p>
    <w:p>
      <w:r>
        <w:drawing>
          <wp:inline>
            <wp:extent cx="5334000" cy="3295227"/>
            <wp:effectExtent b="0" l="0" r="0" t="0"/>
            <wp:docPr descr="" id="1" name="Picture"/>
            <a:graphic>
              <a:graphicData uri="http://schemas.openxmlformats.org/drawingml/2006/picture">
                <pic:pic>
                  <pic:nvPicPr>
                    <pic:cNvPr descr="../figures/Figure3D.png" id="0" name="Picture"/>
                    <pic:cNvPicPr>
                      <a:picLocks noChangeArrowheads="1" noChangeAspect="1"/>
                    </pic:cNvPicPr>
                  </pic:nvPicPr>
                  <pic:blipFill>
                    <a:blip r:embed="rId54"/>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extreme negative niche construction TODO</w:t>
      </w:r>
    </w:p>
    <w:p/>
    <w:p>
      <w:pPr>
        <w:pStyle w:val="Heading2"/>
      </w:pPr>
      <w:bookmarkStart w:id="55" w:name="figure-4"/>
      <w:bookmarkEnd w:id="55"/>
      <w:r>
        <w:t xml:space="preserve">Figure 4</w:t>
      </w:r>
    </w:p>
    <w:p>
      <w:r>
        <w:t xml:space="preserve">Cooperators invade from single population</w:t>
      </w:r>
    </w:p>
    <w:p>
      <w:pPr>
        <w:pStyle w:val="Heading2"/>
      </w:pPr>
      <w:bookmarkStart w:id="56" w:name="figure-5"/>
      <w:bookmarkEnd w:id="56"/>
      <w:r>
        <w:t xml:space="preserve">Figure 5</w:t>
      </w:r>
    </w:p>
    <w:p>
      <w:r>
        <w:t xml:space="preserve">Defectors are kept at bay</w:t>
      </w:r>
    </w:p>
    <w:p>
      <w:pPr>
        <w:pStyle w:val="Heading2"/>
      </w:pPr>
      <w:bookmarkStart w:id="57" w:name="figure-6"/>
      <w:bookmarkEnd w:id="57"/>
      <w:r>
        <w:t xml:space="preserve">Figure 6</w:t>
      </w:r>
    </w:p>
    <w:p>
      <w:pPr>
        <w:pStyle w:val="Heading3"/>
      </w:pPr>
      <w:bookmarkStart w:id="58" w:name="figure-6a---effect-of-migration-rate-m"/>
      <w:bookmarkEnd w:id="58"/>
      <w:r>
        <w:t xml:space="preserve">Figure 6A - Effect of Migration Rate (m)</w:t>
      </w:r>
    </w:p>
    <w:p>
      <w:pPr>
        <w:pStyle w:val="Heading3"/>
      </w:pPr>
      <w:bookmarkStart w:id="59" w:name="figure-6b---effect-of-public-good-benefit-smax-smin"/>
      <w:bookmarkEnd w:id="59"/>
      <w:r>
        <w:t xml:space="preserve">Figure 6B - Effect of Public Good Benefit (Smax-Smin)</w:t>
      </w:r>
    </w:p>
    <w:p/>
    <w:p>
      <w:pPr>
        <w:pStyle w:val="Heading1"/>
      </w:pPr>
      <w:bookmarkStart w:id="60" w:name="tables"/>
      <w:bookmarkEnd w:id="60"/>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61" w:name="references"/>
      <w:bookmarkEnd w:id="61"/>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62">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F., Sam P. AND Taddei.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63">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Hankshaw, S. and Kerr, B. 2015. Thumbs up!: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bb61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b1dcea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hyperlink" Id="rId32" Target="Coopeative%20Niche%20Construction" TargetMode="External" /><Relationship Type="http://schemas.openxmlformats.org/officeDocument/2006/relationships/hyperlink" Id="rId62" Target="http://dx.doi.org/10.1038/ismej.2014.259" TargetMode="External" /><Relationship Type="http://schemas.openxmlformats.org/officeDocument/2006/relationships/hyperlink" Id="rId63"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2" Target="Coopeative%20Niche%20Construction" TargetMode="External" /><Relationship Type="http://schemas.openxmlformats.org/officeDocument/2006/relationships/hyperlink" Id="rId62" Target="http://dx.doi.org/10.1038/ismej.2014.259" TargetMode="External" /><Relationship Type="http://schemas.openxmlformats.org/officeDocument/2006/relationships/hyperlink" Id="rId63"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