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As soon as the opportunities for adaptation are exhausted, cooperators are once again at a disadvantage against defectors. However, cooperation can be maintained indefinitely when frequent environmental changes produce a stream of non-social adaptive opportunities (</w:t>
      </w:r>
      <w:r>
        <w:rPr>
          <w:b/>
        </w:rPr>
        <w:t xml:space="preserve">If this isn’t included in Hankshaw paper, remove this sentence and re-write next</w:t>
      </w:r>
      <w:r>
        <w:t xml:space="preserve">). Although natural organisms typically find themselves in changing environments, cooperators may not be able to rely on the the environment to provide sufficient adaptive opportunities for their long-term survival.</w:t>
      </w:r>
    </w:p>
    <w:p>
      <w:r>
        <w:t xml:space="preserve">Summary of this model.</w:t>
      </w:r>
    </w:p>
    <w:p>
      <w:r>
        <w:t xml:space="preserve">Niche construction intro??</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r>
        <w:t xml:space="preserve">$$
n(a_{g,l}) = \sum_{h=1}^{N} I_{a_{g,l}} (1 + a_{h,l-1} \mod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3.1.2</w:t>
      </w:r>
      <w:r>
        <w:t xml:space="preserve"> </w:t>
      </w:r>
      <w:r>
        <w:t xml:space="preserve">(R Core Team, 2014)</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future primacy/recency</w:t>
      </w:r>
    </w:p>
    <w:p>
      <w:pPr>
        <w:pStyle w:val="Compact"/>
        <w:numPr>
          <w:numId w:val="1001"/>
          <w:ilvl w:val="0"/>
        </w:numPr>
      </w:pPr>
      <w:r>
        <w:t xml:space="preserve">future other types of social interactions</w:t>
      </w:r>
    </w:p>
    <w:p>
      <w:pPr>
        <w:pStyle w:val="Compact"/>
        <w:numPr>
          <w:numId w:val="1001"/>
          <w:ilvl w:val="0"/>
        </w:numPr>
      </w:pPr>
      <w:r>
        <w:t xml:space="preserve">future QS or other environmental sensing</w:t>
      </w:r>
    </w:p>
    <w:p>
      <w:pPr>
        <w:numPr>
          <w:numId w:val="1001"/>
          <w:ilvl w:val="0"/>
        </w:numPr>
      </w:pPr>
      <w:r>
        <w:t xml:space="preserve">Host symbiont - many instances of cooperation occur among pathogens. # Acknowledgments</w:t>
      </w:r>
    </w:p>
    <w:p>
      <w:pPr>
        <w:pStyle w:val="Compact"/>
        <w:numPr>
          <w:numId w:val="1001"/>
          <w:ilvl w:val="0"/>
        </w:numPr>
      </w:pPr>
      <w:r>
        <w:t xml:space="preserve">PRFB</w:t>
      </w:r>
    </w:p>
    <w:p>
      <w:pPr>
        <w:pStyle w:val="Compact"/>
        <w:numPr>
          <w:numId w:val="1001"/>
          <w:ilvl w:val="0"/>
        </w:numPr>
      </w:pPr>
      <w:r>
        <w:t xml:space="preserve">BEACON</w:t>
      </w:r>
    </w:p>
    <w:p>
      <w:pPr>
        <w:pStyle w:val="Compact"/>
        <w:numPr>
          <w:numId w:val="1001"/>
          <w:ilvl w:val="0"/>
        </w:numPr>
      </w:pPr>
      <w:r>
        <w:t xml:space="preserve">Google</w:t>
      </w:r>
    </w:p>
    <w:p>
      <w:pPr>
        <w:numPr>
          <w:numId w:val="1001"/>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center"/>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center"/>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center"/>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center"/>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center"/>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center"/>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center"/>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center"/>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center"/>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center"/>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center"/>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Producer Proportion</w:t>
            </w:r>
          </w:p>
        </w:tc>
        <w:tc>
          <w:p>
            <w:pPr>
              <w:pStyle w:val="Compact"/>
              <w:jc w:val="center"/>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center"/>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2014.</w:t>
      </w:r>
      <w:r>
        <w:t xml:space="preserve"> </w:t>
      </w:r>
      <w:r>
        <w:rPr>
          <w:i/>
        </w:rPr>
        <w:t xml:space="preserve">R: A language and environment for statistical computing</w:t>
      </w:r>
      <w:r>
        <w:t xml:space="preserve">. Vienna, Austria: R Foundation for Statistical Computing.</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Griffin, A.S. and Gardner, A. 2007.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a44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ba32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