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w:t>
      </w:r>
    </w:p>
    <w:p>
      <w:pPr>
        <w:pStyle w:val="Heading3"/>
      </w:pPr>
      <w:bookmarkStart w:id="24" w:name="individuals-and-genotypes"/>
      <w:bookmarkEnd w:id="24"/>
      <w:r>
        <w:t xml:space="preserve">Individuals and Genotypes</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A binary allele at the last locus (</w:t>
      </w:r>
      <m:oMath>
        <m:r>
          <m:rPr>
            <m:sty m:val="p"/>
          </m:rPr>
          <m:t>L</m:t>
        </m:r>
        <m:r>
          <m:rPr>
            <m:sty m:val="p"/>
          </m:rPr>
          <m:t>+</m:t>
        </m:r>
        <m:r>
          <m:rPr>
            <m:sty m:val="p"/>
          </m:rPr>
          <m:t>1</m:t>
        </m:r>
      </m:oMath>
      <w:r>
        <w:t xml:space="preserve">) determines whether that individual is a cooperator (</w:t>
      </w:r>
      <m:oMath>
        <m:r>
          <m:rPr>
            <m:sty m:val="p"/>
          </m:rPr>
          <m:t>1</m:t>
        </m:r>
      </m:oMath>
      <w:r>
        <w:t xml:space="preserve">) or a defector (</w:t>
      </w:r>
      <m:oMath>
        <m:r>
          <m:rPr>
            <m:sty m:val="p"/>
          </m:rPr>
          <m:t>0</m:t>
        </m:r>
      </m:oMath>
      <w:r>
        <w:t xml:space="preserve">). Cooperators incur a fitness cost</w:t>
      </w:r>
      <w:r>
        <w:t xml:space="preserve"> </w:t>
      </w:r>
      <m:oMath>
        <m:r>
          <m:rPr>
            <m:sty m:val="p"/>
          </m:rPr>
          <m:t>c</m:t>
        </m:r>
      </m:oMath>
      <w:r>
        <w:t xml:space="preserve">.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The fitness benefits of these adaptations are purely endogenous, and are not affected by other individuals or the environment.</w:t>
      </w:r>
    </w:p>
    <w:p>
      <w:pPr>
        <w:pStyle w:val="Heading3"/>
      </w:pPr>
      <w:bookmarkStart w:id="25" w:name="niche-construction"/>
      <w:bookmarkEnd w:id="25"/>
      <w:r>
        <w:t xml:space="preserve">Niche Construction</w:t>
      </w:r>
    </w:p>
    <w:p>
      <w:r>
        <w:t xml:space="preserve">Populations also influence their environment, which feeds back to affect selection. This process adds a second, exogenous component to each individual’s fitness. Here, the</w:t>
      </w:r>
      <w:r>
        <w:t xml:space="preserve"> </w:t>
      </w:r>
      <w:r>
        <w:t xml:space="preserve">“</w:t>
      </w:r>
      <w:r>
        <w:t xml:space="preserve">niche</w:t>
      </w:r>
      <w:r>
        <w:t xml:space="preserve">”</w:t>
      </w:r>
      <w:r>
        <w:t xml:space="preserve"> </w:t>
      </w:r>
      <w:r>
        <w:t xml:space="preserve">is defined implicitly by the allelic states present in the population. As allelic states change, a population constructs its unique niche. We use a form of density dependent selection to increasingly favors individuals that match their niche.</w:t>
      </w:r>
    </w:p>
    <w:p>
      <w:r>
        <w:t xml:space="preserve">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w:t>
      </w:r>
      <w:r>
        <w:t xml:space="preserve"> </w:t>
      </w:r>
      <m:oMath>
        <m:r>
          <m:rPr>
            <m:sty m:val="p"/>
          </m:rPr>
          <m:t>L</m:t>
        </m:r>
      </m:oMath>
      <w:r>
        <w:t xml:space="preserve"> </w:t>
      </w:r>
      <w:r>
        <w:t xml:space="preserve">is affected by the allelic composition of the population at locus 1, and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For the remainder of this section, this circularity is represented by the function below,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$\bmod_{Y}(y)$</w:t>
      </w:r>
      <w:r>
        <w:t xml:space="preserve"> </w:t>
      </w:r>
      <w:r>
        <w:t xml:space="preserve">is the integer remainder when dividing</w:t>
      </w:r>
      <w:r>
        <w:t xml:space="preserve"> </w:t>
      </w:r>
      <m:oMath>
        <m:r>
          <m:rPr>
            <m:sty m:val="p"/>
          </m:rPr>
          <m:t>y</m:t>
        </m:r>
      </m:oMath>
      <w:r>
        <w:t xml:space="preserve"> </w:t>
      </w:r>
      <w:r>
        <w:t xml:space="preserve">by</w:t>
      </w:r>
      <w:r>
        <w:t xml:space="preserve"> </w:t>
      </w:r>
      <m:oMath>
        <m:r>
          <m:rPr>
            <m:sty m:val="p"/>
          </m:rPr>
          <m:t>Y</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current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43" w:name="figure-2"/>
      <w:bookmarkEnd w:id="43"/>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45" w:name="figure-3"/>
      <w:bookmarkEnd w:id="45"/>
      <w:r>
        <w:t xml:space="preserve">Figure 3</w:t>
      </w:r>
    </w:p>
    <w:p>
      <w:r>
        <w:drawing>
          <wp:inline>
            <wp:extent cx="5334000" cy="2216058"/>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6"/>
                    <a:stretch>
                      <a:fillRect/>
                    </a:stretch>
                  </pic:blipFill>
                  <pic:spPr bwMode="auto">
                    <a:xfrm>
                      <a:off x="0" y="0"/>
                      <a:ext cx="5334000" cy="2216058"/>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bb5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