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337124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337124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3" w:name="figure-2"/>
      <w:bookmarkEnd w:id="43"/>
      <w:r>
        <w:t xml:space="preserve">Figure 2</w:t>
      </w:r>
    </w:p>
    <w:p>
      <w:r>
        <w:drawing>
          <wp:inline>
            <wp:extent cx="5334000" cy="238618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86188"/>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5" w:name="figure-3"/>
      <w:bookmarkEnd w:id="45"/>
      <w:r>
        <w:t xml:space="preserve">Figure 3</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and density dependence enable an adapted cooperator (genotype [1,2,3,4,</w:t>
      </w:r>
      <w:r>
        <w:rPr>
          <w:i/>
        </w:rPr>
        <w:t xml:space="preserve">6</w:t>
      </w:r>
      <w:r>
        <w:t xml:space="preserve">]) to invade a population of defectors. (</w:t>
      </w:r>
      <w:r>
        <w:rPr>
          <w:b/>
        </w:rPr>
        <w:t xml:space="preserve">C</w:t>
      </w:r>
      <w:r>
        <w:t xml:space="preserve">) These same adaptive opportunities can allow cooperators to resist invasion by initially-matching defectors, which arise via mutation and remain a constant threat. Here, cooperation persisted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8">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239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