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47.png" ContentType="image/png"/>
  <Override PartName="/word/media/rId49.png" ContentType="image/png"/>
  <Override PartName="/word/media/rId51.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Heading1"/>
      </w:pPr>
      <w:bookmarkStart w:id="21" w:name="abstract"/>
      <w:bookmarkEnd w:id="21"/>
      <w:r>
        <w:t xml:space="preserve">Abstract</w:t>
      </w:r>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represent this constructed</w:t>
      </w:r>
      <w:r>
        <w:t xml:space="preserve"> </w:t>
      </w:r>
      <w:r>
        <w:t xml:space="preserve">“</w:t>
      </w:r>
      <w:r>
        <w:t xml:space="preserve">niche</w:t>
      </w:r>
      <w:r>
        <w:t xml:space="preserve">”</w:t>
      </w:r>
      <w:r>
        <w:t xml:space="preserve"> </w:t>
      </w:r>
      <w:r>
        <w:t xml:space="preserve">implicitly 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effects of these two components. While cooperation is costly, we assume its effects are independent of the external and constructed components of the environment.</w:t>
      </w:r>
    </w:p>
    <w:p>
      <w:pPr>
        <w:pStyle w:val="Heading3"/>
      </w:pPr>
      <w:bookmarkStart w:id="27" w:name="population-growth-and-the-benefit-of-cooperation"/>
      <w:bookmarkEnd w:id="27"/>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In our current model,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simply raising the fitness benefits conferred by adaptations does not maintain cooperators at high proportion (</w:t>
      </w:r>
      <w:hyperlink w:anchor="fig2">
        <w:r>
          <w:rPr>
            <w:rStyle w:val="Link"/>
          </w:rPr>
          <w:t xml:space="preserve">Figure 2B</w:t>
        </w:r>
      </w:hyperlink>
      <w:r>
        <w:t xml:space="preserve">). This indicates that niche construction does play a crucial role.</w:t>
      </w:r>
    </w:p>
    <w:p>
      <w:r>
        <w:t xml:space="preserve">Further, 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change the environment in a way that favors other types. In this way, negative niche construction serves as a perpetual source of adaptation. Here we observe another facet of the Hankshaw effect: because populations of cooperators are larger, they are better able to respond to the adaptive opportunities that result from negative niche construction. These opportunities can allow cooperators to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after defector invasion, subpopulations of cooperators are more likely to produce the next adapted mutant, which can then displace the slower evolving defectors. It is these recurring cycles of defector invasion and cooperator adaptation that underlie the oscillations in cooperator proportion that we see in</w:t>
      </w:r>
      <w:r>
        <w:t xml:space="preserve"> </w:t>
      </w:r>
      <w:hyperlink w:anchor="fig2">
        <w:r>
          <w:rPr>
            <w:rStyle w:val="Link"/>
          </w:rPr>
          <w:t xml:space="preserve">Figure 2A</w:t>
        </w:r>
      </w:hyperlink>
      <w:r>
        <w:t xml:space="preserve">. When an adaptation to the constructed environment does not occur in the cooperator background before the defector dominates, the defector can drive the cooperator to extinction.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cooperation is orthogonal to niche construction,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As in our model, such cooperative acts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the selective feedbacks produced by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therefore, in the population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timescale at which the niche at a patch change also have potential to dramatically alter our results. Not only would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niche construction becomes more independent,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Similarly to what we have shown in this work, these antagonistic, negative niche constructing behaviors might actually work to maintain these infections. If this is the case, however, perhaps the case could be made for developing treatments that target the selective feedback loop that is created by niche construction.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cooperation and mutualism.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5"/>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6" w:name="fig2"/>
      <w:bookmarkEnd w:id="46"/>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8" w:name="fig3"/>
      <w:bookmarkEnd w:id="48"/>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0" w:name="fig4"/>
      <w:bookmarkEnd w:id="50"/>
      <w:r>
        <w:t xml:space="preserve">Figure 4</w:t>
      </w:r>
    </w:p>
    <w:p>
      <w:r>
        <w:drawing>
          <wp:inline>
            <wp:extent cx="1524000" cy="1524000"/>
            <wp:effectExtent b="0" l="0" r="0" t="0"/>
            <wp:docPr descr="" id="1" name="Picture"/>
            <a:graphic>
              <a:graphicData uri="http://schemas.openxmlformats.org/drawingml/2006/picture">
                <pic:pic>
                  <pic:nvPicPr>
                    <pic:cNvPr descr="../figures/Figure4.pdf" id="0" name="Picture"/>
                    <pic:cNvPicPr>
                      <a:picLocks noChangeArrowheads="1" noChangeAspect="1"/>
                    </pic:cNvPicPr>
                  </pic:nvPicPr>
                  <pic:blipFill>
                    <a:blip r:embed="rId5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7">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17fdc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