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40.png" ContentType="image/png"/>
  <Override PartName="/word/media/rId42.png" ContentType="image/png"/>
  <Override PartName="/word/media/rId44.png" ContentType="image/png"/>
  <Override PartName="/word/media/rId46.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We use the model described earlier to follow the evolution of cooperation in a metapopulation of populations that are connected by spatially-limited migration. Individuals in these populations gain a limited number of adaptations that confer selective benefits. Adaptation is independent of cooperation. However, because cooperation increases population density, these populations experience more mutational opportunities to gain adaptations. Cooperation can hitchhike along with these adaptations, which compensate for the cost of public good production. During this process, populations alter their environment. This niche construction process can be either positive or negative, depending on its effects on fitness.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w:t>
      </w:r>
      <w:r>
        <w:t xml:space="preserve"> </w:t>
      </w:r>
      <m:oMath>
        <m:r>
          <m:rPr>
            <m:sty m:val="p"/>
          </m:rPr>
          <m:t>ϵ</m:t>
        </m:r>
        <m:r>
          <m:rPr>
            <m:sty m:val="p"/>
          </m:rPr>
          <m:t>=</m:t>
        </m:r>
        <m:r>
          <m:rPr>
            <m:sty m:val="p"/>
          </m:rPr>
          <m:t>0</m:t>
        </m:r>
      </m:oMath>
      <w:r>
        <w:t xml:space="preserve">), cooperators are maintained transiently (Figure 1B). Here, the additional mutational abilities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 defector populations become equally adapted. When populations affect their environment and these changes feed back on selection, cooperation persists (Figure 1C, 3A). In these environments, cooperators maintain higher fitness than cooperators, which enables their survival (Figure 3A).</w:t>
      </w:r>
    </w:p>
    <w:p>
      <w:pPr>
        <w:pStyle w:val="Heading2"/>
      </w:pPr>
      <w:bookmarkStart w:id="27" w:name="fitness-increases-do-not-support-cooperation"/>
      <w:bookmarkEnd w:id="27"/>
      <w:r>
        <w:t xml:space="preserve">Fitness Increases do not Support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As compensation, we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the selective effects of niche construction are exaggerated, as a fitness benefit of 0.3 (our increase in</w:t>
      </w:r>
      <w:r>
        <w:t xml:space="preserve"> </w:t>
      </w:r>
      <m:oMath>
        <m:r>
          <m:rPr>
            <m:sty m:val="p"/>
          </m:rPr>
          <m:t>δ</m:t>
        </m:r>
      </m:oMath>
      <w:r>
        <w:t xml:space="preserve">) is the maximum value possible (see 2). To quantify cooperator success and permit comparison, we use the area under the cooperator proportion curve. This measure of</w:t>
      </w:r>
      <w:r>
        <w:t xml:space="preserve"> </w:t>
      </w:r>
      <w:r>
        <w:rPr>
          <w:i/>
        </w:rPr>
        <w:t xml:space="preserve">cooperator presence</w:t>
      </w:r>
      <w:r>
        <w:t xml:space="preserve"> </w:t>
      </w:r>
      <w:r>
        <w:t xml:space="preserve">increases as cooperators rise in abundance or remain in the population longer.</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positive-niche-construction-prolongs-cooperation"/>
      <w:bookmarkEnd w:id="28"/>
      <w:r>
        <w:t xml:space="preserve">Positive Niche Construction Prolongs Cooperation</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 Nevertheless, cooperators are eventually driven to extinction once defectors gain the fitness advantage.</w:t>
      </w:r>
    </w:p>
    <w:p>
      <w:pPr>
        <w:pStyle w:val="Heading2"/>
      </w:pPr>
      <w:bookmarkStart w:id="29" w:name="negative-niche-construction-is-not-sufficient"/>
      <w:bookmarkEnd w:id="29"/>
      <w:r>
        <w:t xml:space="preserve">Negative Niche Construction is not Sufficient</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 Here, defectors rapidly gain the fitness advantage.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(Figure 1D).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 (Figure 2).</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fluctuating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 # 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3" w:name="figures"/>
      <w:bookmarkEnd w:id="33"/>
      <w:r>
        <w:t xml:space="preserve">Figures</w:t>
      </w:r>
    </w:p>
    <w:p>
      <w:pPr>
        <w:pStyle w:val="Heading2"/>
      </w:pPr>
      <w:bookmarkStart w:id="34" w:name="figure-1"/>
      <w:bookmarkEnd w:id="34"/>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5"/>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 cooperation to be maintained in 13 of 18 replicate populations. (</w:t>
      </w:r>
      <w:r>
        <w:rPr>
          <w:b/>
        </w:rPr>
        <w:t xml:space="preserve">D</w:t>
      </w:r>
      <w:r>
        <w:t xml:space="preserve">) While it does contribute to increases in cooperation in other contexts, positive niche construction alone does not maintain cooperation (</w:t>
      </w:r>
      <m:oMath>
        <m:r>
          <m:rPr>
            <m:sty m:val="p"/>
          </m:rPr>
          <m:t>A</m:t>
        </m:r>
        <m:r>
          <m:rPr>
            <m:sty m:val="p"/>
          </m:rPr>
          <m:t>=</m:t>
        </m:r>
        <m:r>
          <m:rPr>
            <m:sty m:val="p"/>
          </m:rPr>
          <m:t>5</m:t>
        </m:r>
      </m:oMath>
      <w:r>
        <w:t xml:space="preserve">).</w:t>
      </w:r>
    </w:p>
    <w:p/>
    <w:p>
      <w:pPr>
        <w:pStyle w:val="Heading2"/>
      </w:pPr>
      <w:bookmarkStart w:id="36" w:name="figure-2"/>
      <w:bookmarkEnd w:id="36"/>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7"/>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Filled circles show the mean cooperator presence among replicate populations, and bars indicate 95% confidence intervals. Individual cooperator presence metrics are shown for each replicate population with an open circle. (</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w:t>
      </w:r>
    </w:p>
    <w:p/>
    <w:p>
      <w:pPr>
        <w:pStyle w:val="Heading2"/>
      </w:pPr>
      <w:bookmarkStart w:id="38" w:name="figure-3"/>
      <w:bookmarkEnd w:id="38"/>
      <w:r>
        <w:t xml:space="preserve">Figure 3</w:t>
      </w:r>
    </w:p>
    <w:p>
      <w:r>
        <w:t xml:space="preserve">Mean fitness over time for the treatments shown in Figure 2</w:t>
      </w:r>
    </w:p>
    <w:p>
      <w:pPr>
        <w:pStyle w:val="Heading3"/>
      </w:pPr>
      <w:bookmarkStart w:id="39" w:name="figure-3a---fitness-for-base-case-niche-construction"/>
      <w:bookmarkEnd w:id="39"/>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Dashed lines indicate the maximum fitness values achievable by cooperators and defectors.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3"/>
      </w:pPr>
      <w:bookmarkStart w:id="41" w:name="figure-3b"/>
      <w:bookmarkEnd w:id="41"/>
      <w:r>
        <w:t xml:space="preserve">Figure 3B</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3" w:name="figure-3c"/>
      <w:bookmarkEnd w:id="43"/>
      <w:r>
        <w:t xml:space="preserve">Figure 3C</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4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5" w:name="figure-3d"/>
      <w:bookmarkEnd w:id="45"/>
      <w:r>
        <w:t xml:space="preserve">Figure 3D</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2"/>
      </w:pPr>
      <w:bookmarkStart w:id="47" w:name="figure-4"/>
      <w:bookmarkEnd w:id="47"/>
      <w:r>
        <w:t xml:space="preserve">Figure 4</w:t>
      </w:r>
    </w:p>
    <w:p>
      <w:r>
        <w:t xml:space="preserve">Cooperators invade defector population. Fully adapted but mismatched. Negative NC.</w:t>
      </w:r>
    </w:p>
    <w:p>
      <w:pPr>
        <w:pStyle w:val="Heading2"/>
      </w:pPr>
      <w:bookmarkStart w:id="48" w:name="figure-5"/>
      <w:bookmarkEnd w:id="48"/>
      <w:r>
        <w:t xml:space="preserve">Figure 5</w:t>
      </w:r>
    </w:p>
    <w:p>
      <w:r>
        <w:t xml:space="preserve">Defectors invade cooperator population. Fully adapted and matched. Role of Export.</w:t>
      </w:r>
    </w:p>
    <w:p>
      <w:pPr>
        <w:pStyle w:val="Heading2"/>
      </w:pPr>
      <w:bookmarkStart w:id="49" w:name="figure-6"/>
      <w:bookmarkEnd w:id="49"/>
      <w:r>
        <w:t xml:space="preserve">Figure 6</w:t>
      </w:r>
    </w:p>
    <w:p>
      <w:pPr>
        <w:pStyle w:val="Heading3"/>
      </w:pPr>
      <w:bookmarkStart w:id="50" w:name="figure-6a---effect-of-public-good-benefit-smax-smin"/>
      <w:bookmarkEnd w:id="50"/>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ww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2" w:name="figure-6b---effect-of-migration-rate-m"/>
      <w:bookmarkEnd w:id="52"/>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7dc0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6755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