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 evolutionary process.</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isogenic defectors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can rapidly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confer these adaptations, defectors invade, and the cycle is broken.</w:t>
      </w:r>
    </w:p>
    <w:p>
      <w:r>
        <w:rPr>
          <w:b/>
        </w:rPr>
        <w:t xml:space="preserve">TODO: the rate of niche construction is crucial</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start with the case with five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locus—the genotype on the far left. Random mutation will introduce a non-zero allele, which is expected to increase in frequency. For simplicity, we assume that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 A divides evenly into L, this genotype can evolve into a perfectly reinforcing sequence [1,2,3,4,5], which enjoys an maximal epsilon increment of fitness of due to its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Thus, we see that correcting one mismatch generates a new mismatch. Thus, this system will never escape its mismatches– the red sector just clicks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rPr>
          <w:b/>
        </w:rPr>
        <w:t xml:space="preserve">TODO</w:t>
      </w:r>
      <w:r>
        <w:t xml:space="preserve"> </w:t>
      </w:r>
      <w:r>
        <w:t xml:space="preserve">Yep. Almost ready.</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514e5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