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43" w:name="figure-2"/>
      <w:bookmarkEnd w:id="43"/>
      <w:r>
        <w:t xml:space="preserve">Figure 2</w:t>
      </w:r>
    </w:p>
    <w:p>
      <w:r>
        <w:drawing>
          <wp:inline>
            <wp:extent cx="5334000" cy="2318512"/>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18512"/>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cooperation is driven to extinction by equally-adapted defectors.</w:t>
      </w:r>
    </w:p>
    <w:p/>
    <w:p>
      <w:pPr>
        <w:pStyle w:val="Heading2"/>
      </w:pPr>
      <w:bookmarkStart w:id="45" w:name="figure-3"/>
      <w:bookmarkEnd w:id="45"/>
      <w:r>
        <w:t xml:space="preserve">Figure 3</w:t>
      </w:r>
    </w:p>
    <w:p>
      <w:pPr>
        <w:pStyle w:val="Heading1"/>
      </w:pPr>
      <w:bookmarkStart w:id="46" w:name="todo-switch-b-and-c"/>
      <w:bookmarkEnd w:id="46"/>
      <w:r>
        <w:t xml:space="preserve">TODO switch B and C?</w:t>
      </w:r>
    </w:p>
    <w:p>
      <w:r>
        <w:drawing>
          <wp:inline>
            <wp:extent cx="5334000" cy="242298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7"/>
                    <a:stretch>
                      <a:fillRect/>
                    </a:stretch>
                  </pic:blipFill>
                  <pic:spPr bwMode="auto">
                    <a:xfrm>
                      <a:off x="0" y="0"/>
                      <a:ext cx="5334000" cy="2422980"/>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In these experiments, we examined whether a strategy initiated at a single population in the center of the metapopulation lattice (</w:t>
      </w:r>
      <m:oMath>
        <m:r>
          <m:rPr>
            <m:sty m:val="p"/>
          </m:rPr>
          <m:t>N</m:t>
        </m:r>
        <m:r>
          <m:rPr>
            <m:sty m:val="p"/>
          </m:rPr>
          <m:t>=</m:t>
        </m:r>
        <m:r>
          <m:rPr>
            <m:sty m:val="p"/>
          </m:rPr>
          <m:t>11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5</m:t>
        </m:r>
        <m:r>
          <m:rPr>
            <m:sty m:val="p"/>
          </m:rPr>
          <m:t>]</m:t>
        </m:r>
      </m:oMath>
      <w:r>
        <w:t xml:space="preserve">) and adaptation can not occur, defectors quickly drive cooperators to extinction due to the cost of cooperation. (</w:t>
      </w:r>
      <w:r>
        <w:rPr>
          <w:b/>
        </w:rPr>
        <w:t xml:space="preserve">B</w:t>
      </w:r>
      <w:r>
        <w:t xml:space="preserve">) However, the adaptive opportunities produced by negative niche construction and density dependence can allow an adapted cooperator (genotype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6</m:t>
        </m:r>
        <m:r>
          <m:rPr>
            <m:sty m:val="p"/>
          </m:rPr>
          <m:t>]</m:t>
        </m:r>
      </m:oMath>
      <w:r>
        <w:t xml:space="preserve">) to invade a population of defectors. TODO explain? (</w:t>
      </w:r>
      <w:r>
        <w:rPr>
          <w:b/>
        </w:rPr>
        <w:t xml:space="preserve">C</w:t>
      </w:r>
      <w:r>
        <w:t xml:space="preserve">) These same adaptive opportunities can allow cooperators to resist invasion by matching defectors, which arise via mutation and remain a constant threat. Here, adaptation allows cooperation to persist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w:t>
      </w:r>
    </w:p>
    <w:p/>
    <w:p>
      <w:pPr>
        <w:pStyle w:val="Heading2"/>
      </w:pPr>
      <w:bookmarkStart w:id="48" w:name="figure-4"/>
      <w:bookmarkEnd w:id="48"/>
      <w:r>
        <w:t xml:space="preserve">Figure 4</w:t>
      </w:r>
    </w:p>
    <w:p>
      <w:r>
        <w:t xml:space="preserve">Cooperators invade defector population. Fully adapted but mismatched. Negative NC.</w:t>
      </w:r>
    </w:p>
    <w:p>
      <w:pPr>
        <w:pStyle w:val="Heading2"/>
      </w:pPr>
      <w:bookmarkStart w:id="49" w:name="figure-5"/>
      <w:bookmarkEnd w:id="49"/>
      <w:r>
        <w:t xml:space="preserve">Figure 5</w:t>
      </w:r>
    </w:p>
    <w:p>
      <w:r>
        <w:t xml:space="preserve">Defectors invade cooperator population. Fully adapted and matched. Role of Export.</w:t>
      </w:r>
    </w:p>
    <w:p>
      <w:pPr>
        <w:pStyle w:val="Heading2"/>
      </w:pPr>
      <w:bookmarkStart w:id="50" w:name="figure-6"/>
      <w:bookmarkEnd w:id="50"/>
      <w:r>
        <w:t xml:space="preserve">Figure 6</w:t>
      </w:r>
    </w:p>
    <w:p>
      <w:pPr>
        <w:pStyle w:val="Heading3"/>
      </w:pPr>
      <w:bookmarkStart w:id="51" w:name="figure-6a---effect-of-public-good-benefit-smax-smin"/>
      <w:bookmarkEnd w:id="51"/>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3" w:name="figure-6b---effect-of-migration-rate-m"/>
      <w:bookmarkEnd w:id="53"/>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5" w:name="tables"/>
      <w:bookmarkEnd w:id="55"/>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56" w:name="references"/>
      <w:bookmarkEnd w:id="56"/>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7">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8">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9">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1b86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57" Target="http://dx.doi.org/10.1038/ismej.2014.259" TargetMode="External" /><Relationship Type="http://schemas.openxmlformats.org/officeDocument/2006/relationships/hyperlink" Id="rId59" Target="http://dx.doi.org/10.1101/016667" TargetMode="External" /><Relationship Type="http://schemas.openxmlformats.org/officeDocument/2006/relationships/hyperlink" Id="rId58"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7" Target="http://dx.doi.org/10.1038/ismej.2014.259" TargetMode="External" /><Relationship Type="http://schemas.openxmlformats.org/officeDocument/2006/relationships/hyperlink" Id="rId59" Target="http://dx.doi.org/10.1101/016667" TargetMode="External" /><Relationship Type="http://schemas.openxmlformats.org/officeDocument/2006/relationships/hyperlink" Id="rId58"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