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52.png" ContentType="image/png"/>
  <Override PartName="/word/media/rId54.png" ContentType="image/png"/>
  <Override PartName="/word/media/rId57.pdf" ContentType="application/pdf"/>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Further, we show that cooperator success depends specifically on negative niche construction. Here, negative niche construction acts as a perpetual source of adaptive opportunities. As populations adapt, they alter their environment in ways that reveal additional opportunities for adaptation. Despite being independent of niche construction in our model, cooperation feeds this cycle. We show that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passively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 positive niche construction, selection favors the constructor, and evolution stagnates as this type fixes. Whereas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due to the endless opportunities for adaptation that it produces. These results suggest that cooperators can ensure their survival by playing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the expanded model here,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sty m:val="p"/>
          </m:rPr>
          <m:t>1</m:t>
        </m:r>
      </m:oMath>
      <w:r>
        <w:t xml:space="preserve">), which carries fitness cost</w:t>
      </w:r>
      <w:r>
        <w:t xml:space="preserve"> </w:t>
      </w:r>
      <m:oMath>
        <m:r>
          <m:rPr>
            <m:sty m:val="p"/>
          </m:rPr>
          <m:t>c</m:t>
        </m:r>
      </m:oMath>
      <w:r>
        <w:t xml:space="preserve">, or a defector (allele</w:t>
      </w:r>
      <w:r>
        <w:t xml:space="preserve">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that are present at each locus become important.</w:t>
      </w:r>
    </w:p>
    <w:p>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w:t>
      </w:r>
      <w:r>
        <w:t xml:space="preserve"> </w:t>
      </w:r>
      <w:hyperlink w:anchor="box1">
        <w:r>
          <w:rPr>
            <w:rStyle w:val="Link"/>
          </w:rPr>
          <w:t xml:space="preserve">Box 1</w:t>
        </w:r>
      </w:hyperlink>
      <w:r>
        <w:t xml:space="preserve">).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8" w:name="subpopulation-growth-and-the-benefit-of-cooperation"/>
      <w:bookmarkEnd w:id="28"/>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the reproductive fitness of individual</w:t>
      </w:r>
      <w:r>
        <w:t xml:space="preserve"> </w:t>
      </w:r>
      <m:oMath>
        <m:r>
          <m:rPr>
            <m:sty m:val="p"/>
          </m:rPr>
          <m:t>i</m:t>
        </m:r>
      </m:oMath>
      <w:r>
        <w:t xml:space="preserve"> </w:t>
      </w:r>
      <w:r>
        <w:t xml:space="preserve">relative to others in the subpopulation (using Equation 2).</w:t>
      </w:r>
    </w:p>
    <w:p>
      <w:pPr>
        <w:pStyle w:val="Heading3"/>
      </w:pPr>
      <w:bookmarkStart w:id="29" w:name="mutation"/>
      <w:bookmarkEnd w:id="29"/>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value randomly sampled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30" w:name="migration"/>
      <w:bookmarkEnd w:id="30"/>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1" w:name="population-initialization-and-simulation"/>
      <w:bookmarkEnd w:id="31"/>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2" w:name="simulation-source-code-and-software-dependencies"/>
      <w:bookmarkEnd w:id="32"/>
      <w:r>
        <w:t xml:space="preserve">Simulation Source Code and Software Dependencies</w:t>
      </w:r>
    </w:p>
    <w:p>
      <w:r>
        <w:t xml:space="preserve">The simulation software and configurations for the experiments reported are available online.</w:t>
      </w:r>
      <w:r>
        <w:rPr>
          <w:rStyle w:val="FootnoteRef"/>
        </w:rPr>
        <w:footnoteReference w:id="33"/>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5" w:name="results"/>
      <w:bookmarkEnd w:id="35"/>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6" w:name="cooperation-persists-with-niche-construction"/>
      <w:bookmarkEnd w:id="36"/>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most of these populations.</w:t>
      </w:r>
    </w:p>
    <w:p>
      <w:pPr>
        <w:pStyle w:val="Heading2"/>
      </w:pPr>
      <w:bookmarkStart w:id="37" w:name="fitness-increases-alone-do-not-support-persisting-cooperation"/>
      <w:bookmarkEnd w:id="37"/>
      <w:r>
        <w:t xml:space="preserve">Fitness Increases Alone do not Support Persisting Cooperation</w:t>
      </w:r>
    </w:p>
    <w:p>
      <w:r>
        <w:t xml:space="preserve">Adaptations to both the external environment and the constructed environment contribute to an individual’s fitness in this model. Here, we determine whether cooperation is maintained solely due to the larger selective values that result from the contributions of niche construction. We performed simulations in which these contributions were transferred to supplement the benefits conferred by adaptation to the external, non-constructed environment (replacing</w:t>
      </w:r>
      <w:r>
        <w:t xml:space="preserve"> </w:t>
      </w:r>
      <m:oMath>
        <m:r>
          <m:rPr>
            <m:sty m:val="p"/>
          </m:rPr>
          <m:t>ϵ</m:t>
        </m:r>
        <m:r>
          <m:rPr>
            <m:sty m:val="p"/>
          </m:rPr>
          <m:t>=</m:t>
        </m:r>
        <m:r>
          <m:rPr>
            <m:sty m:val="p"/>
          </m:rPr>
          <m:t>0</m:t>
        </m:r>
        <m:r>
          <m:rPr>
            <m:sty m:val="p"/>
          </m:rPr>
          <m:t>.</m:t>
        </m:r>
        <m:r>
          <m:rPr>
            <m:sty m:val="p"/>
          </m:rPr>
          <m:t>3</m:t>
        </m:r>
      </m:oMath>
      <w:r>
        <w:t xml:space="preserve">,</w:t>
      </w:r>
      <w:r>
        <w:t xml:space="preserve"> </w:t>
      </w:r>
      <m:oMath>
        <m:r>
          <m:rPr>
            <m:sty m:val="p"/>
          </m:rPr>
          <m:t>δ</m:t>
        </m:r>
        <m:r>
          <m:rPr>
            <m:sty m:val="p"/>
          </m:rPr>
          <m:t>=</m:t>
        </m:r>
        <m:r>
          <m:rPr>
            <m:sty m:val="p"/>
          </m:rPr>
          <m:t>0</m:t>
        </m:r>
        <m:r>
          <m:rPr>
            <m:sty m:val="p"/>
          </m:rPr>
          <m:t>.</m:t>
        </m:r>
        <m:r>
          <m:rPr>
            <m:sty m:val="p"/>
          </m:rPr>
          <m:t>3</m:t>
        </m:r>
      </m:oMath>
      <w:r>
        <w:t xml:space="preserve"> </w:t>
      </w:r>
      <w:r>
        <w:t xml:space="preserve">with</w:t>
      </w:r>
      <w:r>
        <w:t xml:space="preserv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In doing so, we conservatively estimate the selective effects of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8" w:name="negative-niche-construction-is-critical-to-cooperator-persistence"/>
      <w:bookmarkEnd w:id="38"/>
      <w:r>
        <w:t xml:space="preserve">Negative Niche Construction is Critical to Cooperator Persistence</w:t>
      </w:r>
    </w:p>
    <w:p>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9" w:name="selective-feedbacks-limit-defector-invasion"/>
      <w:bookmarkEnd w:id="39"/>
      <w:r>
        <w:t xml:space="preserve">Selective Feedbacks Limit Defector Invasion</w:t>
      </w:r>
    </w:p>
    <w:p>
      <w:r>
        <w:t xml:space="preserve">The adaptation resulting from selective feedbacks can limit invasion by defectors, which arise either through 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type—and therefore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40" w:name="discussion"/>
      <w:bookmarkEnd w:id="40"/>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Link"/>
          </w:rPr>
          <w:t xml:space="preserve">Figure 3B</w:t>
        </w:r>
      </w:hyperlink>
      <w:r>
        <w:t xml:space="preserve">). Even in the presence of an isogenic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mutations do not confer these adaptations, cooperators lose the adaptive race and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41" w:name="cooperation-as-niche-construction"/>
      <w:bookmarkEnd w:id="41"/>
      <w:r>
        <w:t xml:space="preserve">Cooperation as Niche Construction</w:t>
      </w:r>
    </w:p>
    <w:p>
      <w:r>
        <w:t xml:space="preserve">In our model, niche construction and adaptation are independent of cooperation, which allows us to focus on hitchhiking. However, cooperative behaviors often alter the environment, which can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2" w:name="evolution-at-multiple-timescales"/>
      <w:bookmarkEnd w:id="42"/>
      <w:r>
        <w:t xml:space="preserve">Evolution at Multiple Timescales</w:t>
      </w:r>
    </w:p>
    <w:p>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In order to study how regulatory traits such as these evolve, we could instead represent the niche explicitly, allowing it to have its own dynamics.</w:t>
      </w:r>
    </w:p>
    <w:p>
      <w:pPr>
        <w:pStyle w:val="Heading2"/>
      </w:pPr>
      <w:bookmarkStart w:id="43" w:name="cooperation-and-niche-construction-in-host-symbiont-co-evolution"/>
      <w:bookmarkEnd w:id="43"/>
      <w:r>
        <w:t xml:space="preserve">Cooperation and Niche Construction in Host-Symbiont Co-Evolution</w:t>
      </w:r>
    </w:p>
    <w:p>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r>
        <w:t xml:space="preserve">Of particular importance are cases where the interests of host and symbiont are in conflict. By selecting for new, more resistant host genotypes or by provoking a specific immune response, pathogens make their host environment less hospitable and can therefore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several public goods by</w:t>
      </w:r>
      <w:r>
        <w:t xml:space="preserve"> </w:t>
      </w:r>
      <w:r>
        <w:rPr>
          <w:i/>
        </w:rPr>
        <w:t xml:space="preserve">P. aeruginosa</w:t>
      </w:r>
      <w:r>
        <w:t xml:space="preserve"> </w:t>
      </w:r>
      <w:r>
        <w:t xml:space="preserve">facilitate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4" w:name="acknowledgments"/>
      <w:bookmarkEnd w:id="44"/>
      <w:r>
        <w:t xml:space="preserve">Acknowledgments</w:t>
      </w:r>
    </w:p>
    <w:p>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(to BDC and BK).</w:t>
      </w:r>
      <w:r>
        <w:t xml:space="preserve"> </w:t>
      </w:r>
    </w:p>
    <w:p>
      <w:pPr>
        <w:pStyle w:val="Heading1"/>
      </w:pPr>
      <w:bookmarkStart w:id="45" w:name="box1"/>
      <w:bookmarkEnd w:id="45"/>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6" w:name="figures"/>
      <w:bookmarkEnd w:id="46"/>
      <w:r>
        <w:t xml:space="preserve">Figures</w:t>
      </w:r>
    </w:p>
    <w:p>
      <w:pPr>
        <w:pStyle w:val="Heading2"/>
      </w:pPr>
      <w:bookmarkStart w:id="47" w:name="fig1"/>
      <w:bookmarkEnd w:id="47"/>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8"/>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Curves show the average cooperator proportion among replicate populations for the duration of simulations, and shaded areas indicate 95% confidence intervals.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w:t>
      </w:r>
      <w:r>
        <w:t xml:space="preserve"> </w:t>
      </w:r>
      <m:oMath>
        <m:r>
          <m:rPr>
            <m:sty m:val="p"/>
          </m:rPr>
          <m:t>δ</m:t>
        </m:r>
        <m:r>
          <m:rPr>
            <m:sty m:val="p"/>
          </m:rPr>
          <m:t>=</m:t>
        </m:r>
        <m:r>
          <m:rPr>
            <m:sty m:val="p"/>
          </m:rPr>
          <m:t>0</m:t>
        </m:r>
        <m:r>
          <m:rPr>
            <m:sty m:val="p"/>
          </m:rPr>
          <m:t>.</m:t>
        </m:r>
        <m:r>
          <m:rPr>
            <m:sty m:val="p"/>
          </m:rPr>
          <m:t>3</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sty m:val="p"/>
          </m:rPr>
          <m:t>ϵ</m:t>
        </m:r>
        <m:r>
          <m:rPr>
            <m:sty m:val="p"/>
          </m:rPr>
          <m:t>=</m:t>
        </m:r>
        <m:r>
          <m:rPr>
            <m:sty m:val="p"/>
          </m:rPr>
          <m:t>0</m:t>
        </m:r>
        <m:r>
          <m:rPr>
            <m:sty m:val="p"/>
          </m:rPr>
          <m:t>.</m:t>
        </m:r>
        <m:r>
          <m:rPr>
            <m:sty m:val="p"/>
          </m:rPr>
          <m:t>00015</m:t>
        </m:r>
      </m:oMath>
      <w:r>
        <w:t xml:space="preserve">) enables cooperation to be maintained indefinitely. In the majority of populations, cooperation remained the dominant strategy. The trajectories of individual populations are shown in Figure 2A. Parameter values not given here are listed in</w:t>
      </w:r>
      <w:r>
        <w:t xml:space="preserve"> </w:t>
      </w:r>
      <w:hyperlink w:anchor="tables">
        <w:r>
          <w:rPr>
            <w:rStyle w:val="Link"/>
          </w:rPr>
          <w:t xml:space="preserve">Table 1</w:t>
        </w:r>
      </w:hyperlink>
      <w:r>
        <w:t xml:space="preserve">.</w:t>
      </w:r>
    </w:p>
    <w:p/>
    <w:p>
      <w:pPr>
        <w:pStyle w:val="Heading2"/>
      </w:pPr>
      <w:bookmarkStart w:id="49" w:name="fig2"/>
      <w:bookmarkEnd w:id="49"/>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50"/>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sty m:val="p"/>
          </m:rPr>
          <m:t>ϵ</m:t>
        </m:r>
        <m:r>
          <m:rPr>
            <m:sty m:val="p"/>
          </m:rPr>
          <m:t>=</m:t>
        </m:r>
        <m:r>
          <m:rPr>
            <m:sty m:val="p"/>
          </m:rPr>
          <m:t>0</m:t>
        </m:r>
        <m:r>
          <m:rPr>
            <m:sty m:val="p"/>
          </m:rPr>
          <m:t>.</m:t>
        </m:r>
        <m:r>
          <m:rPr>
            <m:sty m:val="p"/>
          </m:rPr>
          <m:t>3</m:t>
        </m:r>
      </m:oMath>
      <w:r>
        <w:t xml:space="preserve">,</w:t>
      </w:r>
      <w:r>
        <w:t xml:space="preserve"> </w:t>
      </w:r>
      <m:oMath>
        <m:r>
          <m:rPr>
            <m:sty m:val="p"/>
          </m:rPr>
          <m:t>δ</m:t>
        </m:r>
        <m:r>
          <m:rPr>
            <m:sty m:val="p"/>
          </m:rPr>
          <m:t>=</m:t>
        </m:r>
        <m:r>
          <m:rPr>
            <m:sty m:val="p"/>
          </m:rPr>
          <m:t>0</m:t>
        </m:r>
        <m:r>
          <m:rPr>
            <m:sty m:val="p"/>
          </m:rPr>
          <m:t>.</m:t>
        </m:r>
        <m:r>
          <m:rPr>
            <m:sty m:val="p"/>
          </m:rPr>
          <m:t>3</m:t>
        </m:r>
      </m:oMath>
      <w:r>
        <w:t xml:space="preserve"> </w:t>
      </w:r>
      <w:r>
        <w:t xml:space="preserve">with</w:t>
      </w:r>
      <w:r>
        <w:t xml:space="preserv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51" w:name="fig3"/>
      <w:bookmarkEnd w:id="51"/>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2"/>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sty m:val="p"/>
              </m:rPr>
              <m:t>μ</m:t>
            </m:r>
          </m:e>
          <m:sub>
            <m:r>
              <m:rPr>
                <m:sty m:val="p"/>
              </m:rPr>
              <m:t>a</m:t>
            </m:r>
          </m:sub>
        </m:sSub>
        <m:r>
          <m:rPr>
            <m:sty m:val="p"/>
          </m:rPr>
          <m:t>=</m:t>
        </m:r>
        <m:r>
          <m:rPr>
            <m:sty m:val="p"/>
          </m:rPr>
          <m:t>0</m:t>
        </m:r>
        <m:r>
          <m:rPr>
            <m:sty m:val="p"/>
          </m:rPr>
          <m:t>.</m:t>
        </m:r>
        <m:r>
          <m:rPr>
            <m:sty m:val="p"/>
          </m:rPr>
          <m:t>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
      <w:pPr>
        <w:pStyle w:val="Heading2"/>
      </w:pPr>
      <w:bookmarkStart w:id="53" w:name="fig4"/>
      <w:bookmarkEnd w:id="53"/>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4"/>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subpopulation (red) is placed within an all-cooperator population (light blue). Because these defectors do not bear the costs of cooperation, they spread (</w:t>
      </w:r>
      <m:oMath>
        <m:r>
          <m:rPr>
            <m:sty m:val="p"/>
          </m:rPr>
          <m:t>t</m:t>
        </m:r>
        <m:r>
          <m:rPr>
            <m:sty m:val="p"/>
          </m:rPr>
          <m:t>=</m:t>
        </m:r>
        <m:r>
          <m:rPr>
            <m:sty m:val="p"/>
          </m:rPr>
          <m:t>272</m:t>
        </m:r>
      </m:oMath>
      <w:r>
        <w:t xml:space="preserve">). However, cooperators in one subpopulation gain an adaptation that gives them a fitness advantage over defectors (second panel, medium blue, lower left). At</w:t>
      </w:r>
      <w:r>
        <w:t xml:space="preserve"> </w:t>
      </w:r>
      <m:oMath>
        <m:r>
          <m:rPr>
            <m:sty m:val="p"/>
          </m:rPr>
          <m:t>t</m:t>
        </m:r>
        <m:r>
          <m:rPr>
            <m:sty m:val="p"/>
          </m:rPr>
          <m:t>=</m:t>
        </m:r>
        <m:r>
          <m:rPr>
            <m:sty m:val="p"/>
          </m:rPr>
          <m:t>325</m:t>
        </m:r>
      </m:oMath>
      <w:r>
        <w:t xml:space="preserve">, defectors continue to invade cooperator subpopulations. However, the adapted cooperator type spreads more quickly due to its fitness advantage, invading both defector subpopulations and ancestral cooperator subpopulations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(dark blue).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5" w:name="box-1-figures"/>
      <w:bookmarkEnd w:id="55"/>
      <w:r>
        <w:t xml:space="preserve">Box 1 Figures</w:t>
      </w:r>
    </w:p>
    <w:p/>
    <w:p>
      <w:pPr>
        <w:pStyle w:val="Heading2"/>
      </w:pPr>
      <w:bookmarkStart w:id="56" w:name="figB1"/>
      <w:bookmarkEnd w:id="56"/>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8" w:name="supplemental-figures"/>
      <w:bookmarkEnd w:id="58"/>
      <w:r>
        <w:t xml:space="preserve">Supplemental Figures</w:t>
      </w:r>
    </w:p>
    <w:p/>
    <w:p>
      <w:pPr>
        <w:pStyle w:val="Heading2"/>
      </w:pPr>
      <w:bookmarkStart w:id="59" w:name="figS1"/>
      <w:bookmarkEnd w:id="59"/>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60"/>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sSub>
          <m:e>
            <m:r>
              <m:rPr>
                <m:sty m:val="p"/>
              </m:rPr>
              <m:t>μ</m:t>
            </m:r>
          </m:e>
          <m:sub>
            <m:r>
              <m:rPr>
                <m:sty m:val="p"/>
              </m:rPr>
              <m:t>c</m:t>
            </m:r>
          </m:sub>
        </m:sSub>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61" w:name="tables"/>
      <w:bookmarkEnd w:id="61"/>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2" w:name="references"/>
      <w:bookmarkEnd w:id="62"/>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3">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4">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3">
    <w:p>
      <w:pPr>
        <w:pStyle w:val="FootnoteText"/>
      </w:pPr>
      <w:r>
        <w:rPr>
          <w:rStyle w:val="FootnoteRef"/>
        </w:rPr>
        <w:footnoteRef/>
      </w:r>
      <w:r>
        <w:t xml:space="preserve">These materials are temporarily available at</w:t>
      </w:r>
      <w:r>
        <w:t xml:space="preserve"> </w:t>
      </w:r>
      <w:hyperlink r:id="rId34">
        <w:r>
          <w:rPr>
            <w:rStyle w:val="Link"/>
          </w:rPr>
          <w:t xml:space="preserve">https://github.com/briandconnelly/nicheconstruct/</w:t>
        </w:r>
      </w:hyperlink>
      <w:r>
        <w:t xml:space="preserve"> </w:t>
      </w:r>
      <w:r>
        <w:t xml:space="preserve">and will be moved to a long-term repository shortly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f3f9d7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df" /><Relationship Type="http://schemas.openxmlformats.org/officeDocument/2006/relationships/image" Id="rId60" Target="media/rId60.png" /><Relationship Type="http://schemas.openxmlformats.org/officeDocument/2006/relationships/hyperlink" Id="rId63" Target="http://dx.doi.org/10.1038/ismej.2014.259" TargetMode="External" /><Relationship Type="http://schemas.openxmlformats.org/officeDocument/2006/relationships/hyperlink" Id="rId64" Target="http://dx.doi.org/10.1101/016667" TargetMode="External" /><Relationship Type="http://schemas.openxmlformats.org/officeDocument/2006/relationships/hyperlink" Id="rId34" Target="https://github.com/briandconnelly/nicheconstruct/" TargetMode="External" /></Relationships>
</file>

<file path=word/_rels/footnotes.xml.rels><?xml version="1.0" encoding="UTF-8"?>
<Relationships xmlns="http://schemas.openxmlformats.org/package/2006/relationships"><Relationship Type="http://schemas.openxmlformats.org/officeDocument/2006/relationships/hyperlink" Id="rId63" Target="http://dx.doi.org/10.1038/ismej.2014.259" TargetMode="External" /><Relationship Type="http://schemas.openxmlformats.org/officeDocument/2006/relationships/hyperlink" Id="rId64" Target="http://dx.doi.org/10.1101/016667" TargetMode="External" /><Relationship Type="http://schemas.openxmlformats.org/officeDocument/2006/relationships/hyperlink" Id="rId34" Target="https://github.com/briandconnelly/nicheconstru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