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particularly those that arise from within via mutations that disable cooperation.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In this work, we examine whether the changes in selection that arise as organisms modify their environment can create opportunities that allow cooperators to be maintained by hitchhiking. We expand upon the model presented in</w:t>
      </w:r>
      <w:r>
        <w:t xml:space="preserve"> </w:t>
      </w:r>
      <w:r>
        <w:t xml:space="preserve">Hankshaw and Kerr (2015)</w:t>
      </w:r>
      <w:r>
        <w:t xml:space="preserve">, by allowing populations to alter their local environment based on the the presence of different non-social adaptations. Frequency-dependent selection on these adaptations creates an eco-evolutionary feedback that increasingly favors the adaptations present in each population. We first examine how the intensity of these feedbacks affects the hitchhiking process. Because the production of public goods increases population density, populations containing cooperators will exert a greater influence on their environment. As a result, these environments will be more quickly brought to states where fitness is higher.</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these individuals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At each of these loci, the presence of a non-zero allele represents an adaptation to the environment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an adapted cooperator recoups the cost of cooperation.</w:t>
      </w:r>
    </w:p>
    <w:p>
      <w:r>
        <w:t xml:space="preserve">Organisms also influence their environment, which can feed back to influence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l</m:t>
        </m:r>
        <m:r>
          <m:rPr>
            <m:sty m:val="p"/>
          </m:rPr>
          <m:t>−</m:t>
        </m:r>
        <m:r>
          <m:rPr>
            <m:sty m:val="p"/>
          </m:rPr>
          <m:t>1</m:t>
        </m:r>
      </m:oMath>
      <w:r>
        <w:t xml:space="preserve"> </w:t>
      </w:r>
      <w:r>
        <w:t xml:space="preserve">(modulo</w:t>
      </w:r>
      <w:r>
        <w:t xml:space="preserve"> </w:t>
      </w:r>
      <m:oMath>
        <m:r>
          <m:rPr>
            <m:sty m:val="p"/>
          </m:rPr>
          <m:t>L</m:t>
        </m:r>
      </m:oMath>
      <w:r>
        <w:t xml:space="preserve">). The slope of this increase is</w:t>
      </w:r>
      <w:r>
        <w:t xml:space="preserve"> </w:t>
      </w:r>
      <m:oMath>
        <m:r>
          <m:rPr>
            <m:sty m:val="p"/>
          </m:rPr>
          <m:t>ϵ</m:t>
        </m:r>
      </m:oMath>
      <w:r>
        <w:t xml:space="preserve">, which specifies the intensity of niche construction. As a consequence of this form of frequency dependence, genotypes with sequentially-increasing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1</m:t>
          </m:r>
          <m:r>
            <m:rPr>
              <m:sty m:val="p"/>
            </m:rPr>
            <m:t>)</m:t>
          </m:r>
        </m:oMath>
      </m:oMathPara>
    </w:p>
    <w:p>
      <w:r>
        <w:t xml:space="preserve">where</w:t>
      </w:r>
      <w:r>
        <w:t xml:space="preserve"> </w:t>
      </w:r>
      <m:oMath>
        <m:r>
          <m:rPr>
            <m:sty m:val="p"/>
          </m:rPr>
          <m:t>z</m:t>
        </m:r>
      </m:oMath>
      <w:r>
        <w:t xml:space="preserve"> </w:t>
      </w:r>
      <w:r>
        <w:t xml:space="preserve">is a baseline fitness,</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L</m:t>
        </m:r>
      </m:oMath>
      <w:r>
        <w:t xml:space="preserve"> </w:t>
      </w:r>
      <w:r>
        <w:t xml:space="preserve">is the number of adaptive loci, and</w:t>
      </w:r>
      <w:r>
        <w:t xml:space="preserve"> </w:t>
      </w:r>
      <m:oMath>
        <m:r>
          <m:rPr>
            <m:sty m:val="p"/>
          </m:rPr>
          <m:t>c</m:t>
        </m:r>
      </m:oMath>
      <w:r>
        <w:t xml:space="preserve"> </w:t>
      </w:r>
      <w:r>
        <w:t xml:space="preserve">is the cost of the cooperative allele. The function</w:t>
      </w:r>
      <w:r>
        <w:t xml:space="preserve"> </w:t>
      </w:r>
      <m:oMath>
        <m:sSub>
          <m:e>
            <m:r>
              <m:rPr>
                <m:sty m:val="p"/>
              </m:rPr>
              <m:t>I</m:t>
            </m:r>
          </m:e>
          <m:sub>
            <m:r>
              <m:rPr>
                <m:sty m:val="p"/>
              </m:rPr>
              <m:t>A</m:t>
            </m:r>
          </m:sub>
        </m:sSub>
      </m:oMath>
      <w:r>
        <w:t xml:space="preserve"> </w:t>
      </w:r>
      <w:r>
        <w:t xml:space="preserve">indicates whether allelic state</w:t>
      </w:r>
      <w:r>
        <w:t xml:space="preserve"> </w:t>
      </w:r>
      <m:oMath>
        <m:r>
          <m:rPr>
            <m:sty m:val="p"/>
          </m:rPr>
          <m:t>y</m:t>
        </m:r>
      </m:oMath>
      <w:r>
        <w:t xml:space="preserve"> </w:t>
      </w:r>
      <w:r>
        <w:t xml:space="preserve">is in</w:t>
      </w:r>
      <w:r>
        <w:t xml:space="preserve"> </w:t>
      </w:r>
      <m:oMath>
        <m:r>
          <m:rPr>
            <m:sty m:val="p"/>
          </m:rPr>
          <m:t>A</m:t>
        </m:r>
      </m:oMath>
      <w:r>
        <w:t xml:space="preserve"> </w:t>
      </w:r>
      <w:r>
        <w:t xml:space="preserve">(i.e., it is non-zero). The function</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gives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\sum_{i \in P} I_{a_{g,l}} (1 + a_{\gamma(i),\{1 + (l-2(\bmod L)\}} (\bmod a_{max})) \qquad (2)$$</w:t>
      </w:r>
    </w:p>
    <w:p>
      <w:r>
        <w:t xml:space="preserve">Here,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j</m:t>
        </m:r>
        <m:r>
          <m:rPr>
            <m:sty m:val="p"/>
          </m:rPr>
          <m:t>)</m:t>
        </m:r>
      </m:oMath>
      <w:r>
        <w:t xml:space="preserve"> </w:t>
      </w:r>
      <w:r>
        <w:t xml:space="preserve">is the genotype of individual</w:t>
      </w:r>
      <w:r>
        <w:t xml:space="preserve"> </w:t>
      </w:r>
      <m:oMath>
        <m:r>
          <m:rPr>
            <m:sty m:val="p"/>
          </m:rPr>
          <m:t>j</m:t>
        </m:r>
      </m:oMath>
      <w:r>
        <w:t xml:space="preserve">. Note that the selective value of an allele at the first locus is affected by the allelic state at locus</w:t>
      </w:r>
      <w:r>
        <w:t xml:space="preserve"> </w:t>
      </w:r>
      <m:oMath>
        <m:r>
          <m:rPr>
            <m:sty m:val="p"/>
          </m:rPr>
          <m:t>L</m:t>
        </m:r>
      </m:oMath>
      <w:r>
        <w:t xml:space="preserve">.</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3</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4</m:t>
          </m:r>
          <m:r>
            <m:rPr>
              <m:sty m:val="p"/>
            </m:rPr>
            <m:t>)</m:t>
          </m:r>
        </m:oMath>
      </m:oMathPara>
    </w:p>
    <w:p>
      <w:r>
        <w:t xml:space="preserve">Here,</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 and</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its fitness (see Equation 1).</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5</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1</m:t>
        </m:r>
        <m:r>
          <m:rPr>
            <m:sty m:val="p"/>
          </m:rPr>
          <m:t>,</m:t>
        </m:r>
        <m:r>
          <m:rPr>
            <m:sty m:val="p"/>
          </m:rPr>
          <m:t>…</m:t>
        </m:r>
        <m:r>
          <m:rPr>
            <m:sty m:val="p"/>
          </m:rPr>
          <m:t>,</m:t>
        </m:r>
        <m:r>
          <m:rPr>
            <m:sty m:val="p"/>
          </m:rPr>
          <m:t>L</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r>
        <w:t xml:space="preserve">results…</w:t>
      </w:r>
    </w:p>
    <w:p>
      <w:pPr>
        <w:pStyle w:val="Heading1"/>
      </w:pPr>
      <w:bookmarkStart w:id="26" w:name="discussion"/>
      <w:bookmarkEnd w:id="26"/>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3"/>
          <w:ilvl w:val="1"/>
        </w:numPr>
      </w:pPr>
      <w:r>
        <w:t xml:space="preserve">Rodrigues (2012)</w:t>
      </w:r>
    </w:p>
    <w:p>
      <w:pPr>
        <w:pStyle w:val="Compact"/>
        <w:numPr>
          <w:numId w:val="1003"/>
          <w:ilvl w:val="1"/>
        </w:numPr>
      </w:pPr>
      <w:r>
        <w:t xml:space="preserve">Dumas and Kümmerli (2010)</w:t>
      </w:r>
    </w:p>
    <w:p>
      <w:pPr>
        <w:pStyle w:val="Compact"/>
        <w:numPr>
          <w:numId w:val="1003"/>
          <w:ilvl w:val="1"/>
        </w:numPr>
      </w:pPr>
      <w:r>
        <w:t xml:space="preserve">Kümmerli and Brown (2010)</w:t>
      </w:r>
    </w:p>
    <w:p>
      <w:pPr>
        <w:pStyle w:val="Compact"/>
        <w:numPr>
          <w:numId w:val="1003"/>
          <w:ilvl w:val="1"/>
        </w:numPr>
      </w:pPr>
      <w:r>
        <w:t xml:space="preserve">Darch/Diggle</w:t>
      </w:r>
    </w:p>
    <w:p>
      <w:pPr>
        <w:pStyle w:val="Compact"/>
        <w:numPr>
          <w:numId w:val="1003"/>
          <w:ilvl w:val="1"/>
        </w:numPr>
      </w:pPr>
      <w:r>
        <w:t xml:space="preserve">QS?</w:t>
      </w:r>
    </w:p>
    <w:p>
      <w:pPr>
        <w:pStyle w:val="Compact"/>
        <w:numPr>
          <w:numId w:val="1003"/>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27" w:name="public-goods"/>
      <w:bookmarkEnd w:id="27"/>
      <w:r>
        <w:t xml:space="preserve">Public Goods</w:t>
      </w:r>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28" w:name="primacyrecency"/>
      <w:bookmarkEnd w:id="28"/>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1,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29" w:name="cooperative-niche-construction"/>
      <w:bookmarkEnd w:id="29"/>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0" w:name="host-symbiont"/>
      <w:bookmarkEnd w:id="30"/>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1" w:name="acknowledgments"/>
      <w:bookmarkEnd w:id="31"/>
      <w:r>
        <w:t xml:space="preserve">Acknowledgments</w:t>
      </w:r>
    </w:p>
    <w:p>
      <w:pPr>
        <w:pStyle w:val="Compact"/>
        <w:numPr>
          <w:numId w:val="1004"/>
          <w:ilvl w:val="0"/>
        </w:numPr>
      </w:pPr>
      <w:r>
        <w:t xml:space="preserve">TODO: Organizers?</w:t>
      </w:r>
    </w:p>
    <w:p>
      <w:pPr>
        <w:pStyle w:val="Compact"/>
        <w:numPr>
          <w:numId w:val="1004"/>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2" w:name="figures"/>
      <w:bookmarkEnd w:id="32"/>
      <w:r>
        <w:t xml:space="preserve">Figures</w:t>
      </w:r>
    </w:p>
    <w:p/>
    <w:p>
      <w:pPr>
        <w:pStyle w:val="Heading1"/>
      </w:pPr>
      <w:bookmarkStart w:id="33" w:name="tables"/>
      <w:bookmarkEnd w:id="33"/>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34" w:name="references"/>
      <w:bookmarkEnd w:id="34"/>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35">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36">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1003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b40f0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dx.doi.org/10.1038/ismej.2014.259" TargetMode="External" /><Relationship Type="http://schemas.openxmlformats.org/officeDocument/2006/relationships/hyperlink" Id="rId36"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5" Target="http://dx.doi.org/10.1038/ismej.2014.259" TargetMode="External" /><Relationship Type="http://schemas.openxmlformats.org/officeDocument/2006/relationships/hyperlink" Id="rId36"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