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(Fig. 1A). As soon as the opportunities for adaptation are exhausted, cooperators are once again at a disadvantage against defectors. As shown in Fig. 1B, however, cooperation can be maintained indefinitely when frequent environmental changes produce a stream of non-social adaptive opportunities. Although natural organisms typically find themselves in changing environments, cooperators may not be able to rely on the the environment to provide sufficient adaptive opportunities for their long-term survival.</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3.1.2</w:t>
      </w:r>
      <w:r>
        <w:t xml:space="preserve"> </w:t>
      </w:r>
      <w:r>
        <w:t xml:space="preserve">(R Core Team, 2014)</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r>
        <w:t xml:space="preserve">discussion…</w:t>
      </w:r>
    </w:p>
    <w:p>
      <w:pPr>
        <w:pStyle w:val="Compact"/>
        <w:numPr>
          <w:numId w:val="1001"/>
          <w:ilvl w:val="0"/>
        </w:numPr>
      </w:pPr>
      <w:r>
        <w:t xml:space="preserve">future primacy/recency</w:t>
      </w:r>
    </w:p>
    <w:p>
      <w:pPr>
        <w:pStyle w:val="Compact"/>
        <w:numPr>
          <w:numId w:val="1001"/>
          <w:ilvl w:val="0"/>
        </w:numPr>
      </w:pPr>
      <w:r>
        <w:t xml:space="preserve">future other types of social interactions</w:t>
      </w:r>
    </w:p>
    <w:p>
      <w:pPr>
        <w:pStyle w:val="Compact"/>
        <w:numPr>
          <w:numId w:val="1001"/>
          <w:ilvl w:val="0"/>
        </w:numPr>
      </w:pPr>
      <w:r>
        <w:t xml:space="preserve">future QS or other environmental sensing</w:t>
      </w:r>
    </w:p>
    <w:p>
      <w:pPr>
        <w:pStyle w:val="Heading1"/>
      </w:pPr>
      <w:bookmarkStart w:id="31" w:name="acknowledgments"/>
      <w:bookmarkEnd w:id="31"/>
      <w:r>
        <w:t xml:space="preserve">Acknowledgments</w:t>
      </w:r>
    </w:p>
    <w:p/>
    <w:p>
      <w:pPr>
        <w:pStyle w:val="Heading1"/>
      </w:pPr>
      <w:bookmarkStart w:id="32" w:name="figures"/>
      <w:bookmarkEnd w:id="32"/>
      <w:r>
        <w:t xml:space="preserve">Figures</w:t>
      </w:r>
    </w:p>
    <w:p/>
    <w:p>
      <w:pPr>
        <w:pStyle w:val="Heading1"/>
      </w:pPr>
      <w:bookmarkStart w:id="33" w:name="tables"/>
      <w:bookmarkEnd w:id="3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center"/>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center"/>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center"/>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center"/>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center"/>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center"/>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center"/>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center"/>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center"/>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center"/>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center"/>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Producer Proportion</w:t>
            </w:r>
          </w:p>
        </w:tc>
        <w:tc>
          <w:p>
            <w:pPr>
              <w:pStyle w:val="Compact"/>
              <w:jc w:val="center"/>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center"/>
            </w:pPr>
            <w:r>
              <w:t xml:space="preserve">TODO</w:t>
            </w:r>
          </w:p>
        </w:tc>
      </w:tr>
    </w:tbl>
    <w:p/>
    <w:p>
      <w:pPr>
        <w:pStyle w:val="Heading1"/>
      </w:pPr>
      <w:bookmarkStart w:id="34" w:name="references"/>
      <w:bookmarkEnd w:id="34"/>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5">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2014.</w:t>
      </w:r>
      <w:r>
        <w:t xml:space="preserve"> </w:t>
      </w:r>
      <w:r>
        <w:rPr>
          <w:i/>
        </w:rPr>
        <w:t xml:space="preserve">R: A language and environment for statistical computing</w:t>
      </w:r>
      <w:r>
        <w:t xml:space="preserve">. Vienna, Austria: R Foundation for Statistical Computing.</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Griffin, A.S. and Gardner, A. 2007.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990b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7ee5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