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df" ContentType="application/pdf"/>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the dominant phenotype in 13 of 18 replicate populations.</w:t>
      </w:r>
    </w:p>
    <w:p/>
    <w:p>
      <w:pPr>
        <w:pStyle w:val="Heading2"/>
      </w:pPr>
      <w:bookmarkStart w:id="37" w:name="figure-2"/>
      <w:bookmarkEnd w:id="37"/>
      <w:r>
        <w:t xml:space="preserve">Figure 2</w:t>
      </w:r>
    </w:p>
    <w:p>
      <w:r>
        <w:drawing>
          <wp:inline>
            <wp:extent cx="1524000" cy="1524000"/>
            <wp:effectExtent b="0" l="0" r="0" t="0"/>
            <wp:docPr descr="" id="1" name="Picture"/>
            <a:graphic>
              <a:graphicData uri="http://schemas.openxmlformats.org/drawingml/2006/picture">
                <pic:pic>
                  <pic:nvPicPr>
                    <pic:cNvPr descr="../figures/Figure2-edited.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 In these box plots, whiskers show range of data within 1.5 IQR.</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77e1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43bc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df"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