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5.png" ContentType="image/png"/>
  <Override PartName="/word/media/rId47.png" ContentType="image/png"/>
  <Override PartName="/word/media/rId49.png" ContentType="image/png"/>
  <Override PartName="/word/media/rId52.png" ContentType="image/png"/>
  <Override PartName="/word/media/rId54.png" ContentType="image/png"/>
  <Override PartName="/word/media/rId56.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altered based on current phenotypes, which changes the composition of phenotypes and their effects. The effect on selection can be either positive or negative, depending on whether the environmental change increases or decreases the fitness of the niche-constructing individual. Although niche construction occurs independently of cooperation in our model, the increase in density that results from public good production has a profound effect on how populations evolve in the presence of selective feedbacks. First, these populations exert greater influence on their environments, which allows them to benefit more from positive niche construction. And as environments change, either by negative niche construction or external influences, these larger populations can adapt more quickly. We show that it is the combination of these factors that allows cooperation to persist.</w:t>
      </w:r>
    </w:p>
    <w:p>
      <w:pPr>
        <w:pStyle w:val="Heading3"/>
      </w:pPr>
      <w:bookmarkStart w:id="22" w:name="description-of-positive-nc-effects"/>
      <w:bookmarkEnd w:id="22"/>
      <w:r>
        <w:t xml:space="preserve">Description of positive NC effects</w:t>
      </w:r>
    </w:p>
    <w:p>
      <w:r>
        <w:t xml:space="preserve">Include Smax and m sweeps here, or in a later paragraph?</w:t>
      </w:r>
    </w:p>
    <w:p>
      <w:pPr>
        <w:pStyle w:val="Heading3"/>
      </w:pPr>
      <w:bookmarkStart w:id="23" w:name="description-of-negative-nc-effects"/>
      <w:bookmarkEnd w:id="23"/>
      <w:r>
        <w:t xml:space="preserve">Description of negative NC effects</w:t>
      </w:r>
    </w:p>
    <w:p>
      <w:r>
        <w:t xml:space="preserve">TODO</w:t>
      </w:r>
    </w:p>
    <w:p>
      <w:pPr>
        <w:pStyle w:val="Heading3"/>
      </w:pPr>
      <w:bookmarkStart w:id="24" w:name="stuff-to-be-cutintegrated-above"/>
      <w:bookmarkEnd w:id="24"/>
      <w:r>
        <w:t xml:space="preserve">Stuff to be cut/integrated above</w:t>
      </w:r>
    </w:p>
    <w:p>
      <w:r>
        <w:t xml:space="preserve">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5" w:name="materials-and-methods"/>
      <w:bookmarkEnd w:id="25"/>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populations to modify their local environment, and these modifications feed back to affect selection.</w:t>
      </w:r>
    </w:p>
    <w:p>
      <w:pPr>
        <w:pStyle w:val="Heading2"/>
      </w:pPr>
      <w:bookmarkStart w:id="26" w:name="model-description"/>
      <w:bookmarkEnd w:id="26"/>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 The function</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 given allelic state</w:t>
      </w:r>
      <w:r>
        <w:t xml:space="preserve"> </w:t>
      </w:r>
      <m:oMath>
        <m:r>
          <m:rPr>
            <m:sty m:val="p"/>
          </m:rPr>
          <m:t>a</m:t>
        </m:r>
      </m:oMath>
      <w:r>
        <w:t xml:space="preserve"> </w:t>
      </w:r>
      <w:r>
        <w:t xml:space="preserve">is in</w:t>
      </w:r>
      <w:r>
        <w:t xml:space="preserve"> </w:t>
      </w:r>
      <m:oMath>
        <m:r>
          <m:rPr>
            <m:sty m:val="p"/>
          </m:rPr>
          <m:t>A</m:t>
        </m:r>
      </m:oMath>
      <w:r>
        <w:t xml:space="preserve"> </w:t>
      </w:r>
      <w:r>
        <w:t xml:space="preserve">(i.e., it is non-zero), while the function</w:t>
      </w:r>
      <w:r>
        <w:t xml:space="preserve"> </w:t>
      </w:r>
      <m:oMath>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7" w:name="source-code-and-software-environment"/>
      <w:bookmarkEnd w:id="27"/>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8" w:name="results"/>
      <w:bookmarkEnd w:id="28"/>
      <w:r>
        <w:t xml:space="preserve">Results</w:t>
      </w:r>
    </w:p>
    <w:p>
      <w:pPr>
        <w:pStyle w:val="Heading2"/>
      </w:pPr>
      <w:bookmarkStart w:id="29" w:name="niche-construction-prolongs-cooperator-survival"/>
      <w:bookmarkEnd w:id="29"/>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30" w:name="negative-niche-construction-helps"/>
      <w:bookmarkEnd w:id="30"/>
      <w:r>
        <w:t xml:space="preserve">Negative Niche construction helps</w:t>
      </w:r>
    </w:p>
    <w:p>
      <w:r>
        <w:t xml:space="preserve">Runs with wraparound persist indefinitely, while those without do not.</w:t>
      </w:r>
    </w:p>
    <w:p>
      <w:pPr>
        <w:pStyle w:val="Heading2"/>
      </w:pPr>
      <w:bookmarkStart w:id="31" w:name="nc-preventslimits-defector-invasion"/>
      <w:bookmarkEnd w:id="31"/>
      <w:r>
        <w:t xml:space="preserve">NC Prevents/Limits Defector invasion</w:t>
      </w:r>
    </w:p>
    <w:p>
      <w:pPr>
        <w:pStyle w:val="Heading2"/>
      </w:pPr>
      <w:bookmarkStart w:id="32" w:name="nc-enables-cooperator-spread-by-exporting-environment"/>
      <w:bookmarkEnd w:id="32"/>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3" w:name="discussion"/>
      <w:bookmarkEnd w:id="33"/>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4" w:name="public-goods"/>
      <w:bookmarkEnd w:id="34"/>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5">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6" w:name="primacyrecency"/>
      <w:bookmarkEnd w:id="36"/>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2,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7" w:name="cooperative-niche-construction"/>
      <w:bookmarkEnd w:id="37"/>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8" w:name="host-symbiont"/>
      <w:bookmarkEnd w:id="38"/>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0" w:name="figures"/>
      <w:bookmarkEnd w:id="40"/>
      <w:r>
        <w:t xml:space="preserve">Figures</w:t>
      </w:r>
    </w:p>
    <w:p>
      <w:pPr>
        <w:pStyle w:val="Heading2"/>
      </w:pPr>
      <w:bookmarkStart w:id="41" w:name="figure-1"/>
      <w:bookmarkEnd w:id="41"/>
      <w:r>
        <w:t xml:space="preserve">Figure 1</w:t>
      </w:r>
    </w:p>
    <w:p>
      <w:pPr>
        <w:pStyle w:val="Heading3"/>
      </w:pPr>
      <w:bookmarkStart w:id="42" w:name="figure-1a"/>
      <w:bookmarkEnd w:id="42"/>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4" w:name="figure-1b"/>
      <w:bookmarkEnd w:id="44"/>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Pr>
        <w:pStyle w:val="Heading3"/>
      </w:pPr>
      <w:bookmarkStart w:id="46" w:name="figure-1c"/>
      <w:bookmarkEnd w:id="46"/>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2"/>
      </w:pPr>
      <w:bookmarkStart w:id="48" w:name="figure-2"/>
      <w:bookmarkEnd w:id="48"/>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9"/>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0" w:name="figure-3"/>
      <w:bookmarkEnd w:id="50"/>
      <w:r>
        <w:t xml:space="preserve">Figure 3</w:t>
      </w:r>
    </w:p>
    <w:p>
      <w:r>
        <w:t xml:space="preserve">Mean fitness over time for the treatments shown in Figure 2</w:t>
      </w:r>
    </w:p>
    <w:p>
      <w:pPr>
        <w:pStyle w:val="Heading3"/>
      </w:pPr>
      <w:bookmarkStart w:id="51" w:name="figure-3a---fitness-for-base-case-niche-construction"/>
      <w:bookmarkEnd w:id="51"/>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3" w:name="figure-3b---fitness-with-double-delta-no-epsilon"/>
      <w:bookmarkEnd w:id="53"/>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5" w:name="figure-3c---fitness-with-no-negative-niche-construction-l5-a5"/>
      <w:bookmarkEnd w:id="55"/>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57" w:name="figure-3d---fitness-with-extreme-negative-niche-construction-l1-a6"/>
      <w:bookmarkEnd w:id="57"/>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9" w:name="figure-4"/>
      <w:bookmarkEnd w:id="59"/>
      <w:r>
        <w:t xml:space="preserve">Figure 4</w:t>
      </w:r>
    </w:p>
    <w:p>
      <w:r>
        <w:t xml:space="preserve">Cooperators invade from single population</w:t>
      </w:r>
    </w:p>
    <w:p>
      <w:pPr>
        <w:pStyle w:val="Heading2"/>
      </w:pPr>
      <w:bookmarkStart w:id="60" w:name="figure-5"/>
      <w:bookmarkEnd w:id="60"/>
      <w:r>
        <w:t xml:space="preserve">Figure 5</w:t>
      </w:r>
    </w:p>
    <w:p>
      <w:r>
        <w:t xml:space="preserve">Defectors are kept at bay</w:t>
      </w:r>
    </w:p>
    <w:p>
      <w:pPr>
        <w:pStyle w:val="Heading2"/>
      </w:pPr>
      <w:bookmarkStart w:id="61" w:name="figure-6"/>
      <w:bookmarkEnd w:id="61"/>
      <w:r>
        <w:t xml:space="preserve">Figure 6</w:t>
      </w:r>
    </w:p>
    <w:p>
      <w:pPr>
        <w:pStyle w:val="Heading3"/>
      </w:pPr>
      <w:bookmarkStart w:id="62" w:name="figure-6a---effect-of-migration-rate-m"/>
      <w:bookmarkEnd w:id="62"/>
      <w:r>
        <w:t xml:space="preserve">Figure 6A - Effect of Migration Rate (m)</w:t>
      </w:r>
    </w:p>
    <w:p>
      <w:pPr>
        <w:pStyle w:val="Heading3"/>
      </w:pPr>
      <w:bookmarkStart w:id="63" w:name="figure-6b---effect-of-public-good-benefit-smax-smin"/>
      <w:bookmarkEnd w:id="63"/>
      <w:r>
        <w:t xml:space="preserve">Figure 6B - Effect of Public Good Benefit (Smax-Smin)</w:t>
      </w:r>
    </w:p>
    <w:p/>
    <w:p>
      <w:pPr>
        <w:pStyle w:val="Heading1"/>
      </w:pPr>
      <w:bookmarkStart w:id="64" w:name="tables"/>
      <w:bookmarkEnd w:id="6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5" w:name="references"/>
      <w:bookmarkEnd w:id="6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4937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3075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hyperlink" Id="rId35" Target="Coopeative%20Niche%20Construction" TargetMode="External" /><Relationship Type="http://schemas.openxmlformats.org/officeDocument/2006/relationships/hyperlink" Id="rId66" Target="http://dx.doi.org/10.1038/ismej.2014.259" TargetMode="External" /><Relationship Type="http://schemas.openxmlformats.org/officeDocument/2006/relationships/hyperlink" Id="rId6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Coopeative%20Niche%20Construction" TargetMode="External" /><Relationship Type="http://schemas.openxmlformats.org/officeDocument/2006/relationships/hyperlink" Id="rId66" Target="http://dx.doi.org/10.1038/ismej.2014.259" TargetMode="External" /><Relationship Type="http://schemas.openxmlformats.org/officeDocument/2006/relationships/hyperlink" Id="rId6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