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3.png" ContentType="image/png"/>
  <Override PartName="/word/media/rId47.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This niche construction creates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t>
      </w:r>
      <w:r>
        <w:t xml:space="preserve">(note that we treat both adaptive loci and allelic states as circular, so the allelic state at locus 1 is affected by locus</w:t>
      </w:r>
      <w:r>
        <w:t xml:space="preserve"> </w:t>
      </w:r>
      <m:oMath>
        <m:r>
          <m:rPr>
            <m:sty m:val="p"/>
          </m:rPr>
          <m:t>L</m:t>
        </m:r>
      </m:oMath>
      <w:r>
        <w:t xml:space="preserve">, and allele 1 is best preceded by allele</w:t>
      </w:r>
      <w:r>
        <w:t xml:space="preserve"> </w:t>
      </w:r>
      <m:oMath>
        <m:sSub>
          <m:e>
            <m:r>
              <m:rPr>
                <m:sty m:val="p"/>
              </m:rPr>
              <m:t>a</m:t>
            </m:r>
          </m:e>
          <m:sub>
            <m:r>
              <m:rPr>
                <m:sty m:val="p"/>
              </m:rPr>
              <m:t>m</m:t>
            </m:r>
            <m:r>
              <m:rPr>
                <m:sty m:val="p"/>
              </m:rPr>
              <m:t>a</m:t>
            </m:r>
            <m:r>
              <m:rPr>
                <m:sty m:val="p"/>
              </m:rPr>
              <m:t>x</m:t>
            </m:r>
          </m:sub>
        </m:sSub>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r>
          <m:rPr>
            <m:sty m:val="p"/>
          </m:rPr>
          <m:t>a</m:t>
        </m:r>
        <m:r>
          <m:rPr>
            <m:sty m:val="p"/>
          </m:rPr>
          <m:t>,</m:t>
        </m:r>
        <m:r>
          <m:rPr>
            <m:sty m:val="p"/>
          </m:rPr>
          <m:t>l</m:t>
        </m:r>
        <m:r>
          <m:rPr>
            <m:sty m:val="p"/>
          </m:rPr>
          <m:t>)</m:t>
        </m:r>
      </m:oMath>
      <w:r>
        <w:t xml:space="preserve"> </w:t>
      </w:r>
      <w:r>
        <w:t xml:space="preserve">gives the number of individuals in the population with allelic state</w:t>
      </w:r>
      <w:r>
        <w:t xml:space="preserve"> </w:t>
      </w:r>
      <m:oMath>
        <m:r>
          <m:rPr>
            <m:sty m:val="p"/>
          </m:rPr>
          <m:t>a</m:t>
        </m:r>
      </m:oMath>
      <w:r>
        <w:t xml:space="preserve"> </w:t>
      </w:r>
      <w:r>
        <w:t xml:space="preserve">at the locus</w:t>
      </w:r>
      <w:r>
        <w:t xml:space="preserve"> </w:t>
      </w:r>
      <m:oMath>
        <m:r>
          <m:rPr>
            <m:sty m:val="p"/>
          </m:rPr>
          <m:t>l</m:t>
        </m:r>
      </m:oMath>
      <w:r>
        <w:t xml:space="preserve"> </w:t>
      </w:r>
      <w:r>
        <w:t xml:space="preserve">(Equation 2), and</w:t>
      </w:r>
      <w:r>
        <w:t xml:space="preserve"> </w:t>
      </w:r>
      <m:oMath>
        <m:r>
          <m:rPr>
            <m:sty m:val="p"/>
          </m:rPr>
          <m:t>t</m:t>
        </m:r>
        <m:r>
          <m:rPr>
            <m:sty m:val="p"/>
          </m:rPr>
          <m:t>h</m:t>
        </m:r>
        <m:r>
          <m:rPr>
            <m:sty m:val="p"/>
          </m:rPr>
          <m:t>e</m:t>
        </m:r>
        <m:r>
          <m:rPr>
            <m:sty m:val="p"/>
          </m:rPr>
          <m:t>f</m:t>
        </m:r>
        <m:r>
          <m:rPr>
            <m:sty m:val="p"/>
          </m:rPr>
          <m:t>u</m:t>
        </m:r>
        <m:r>
          <m:rPr>
            <m:sty m:val="p"/>
          </m:rPr>
          <m:t>n</m:t>
        </m:r>
        <m:r>
          <m:rPr>
            <m:sty m:val="p"/>
          </m:rPr>
          <m:t>c</m:t>
        </m:r>
        <m:r>
          <m:rPr>
            <m:sty m:val="p"/>
          </m:rPr>
          <m:t>t</m:t>
        </m:r>
        <m:r>
          <m:rPr>
            <m:sty m:val="p"/>
          </m:rPr>
          <m:t>i</m:t>
        </m:r>
        <m:r>
          <m:rPr>
            <m:sty m:val="p"/>
          </m:rPr>
          <m:t>o</m:t>
        </m:r>
        <m:r>
          <m:rPr>
            <m:sty m:val="p"/>
          </m:rPr>
          <m:t>n</m:t>
        </m:r>
        <m:r>
          <m:rPr>
            <m:sty m:val="p"/>
          </m:rPr>
          <m:t>β</m:t>
        </m:r>
        <m:r>
          <m:rPr>
            <m:sty m:val="p"/>
          </m:rPr>
          <m:t>(</m:t>
        </m:r>
        <m:r>
          <m:rPr>
            <m:sty m:val="p"/>
          </m:rPr>
          <m:t>x</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gives the value below some value</w:t>
      </w:r>
      <w:r>
        <w:t xml:space="preserve"> </w:t>
      </w:r>
      <m:oMath>
        <m:r>
          <m:rPr>
            <m:sty m:val="p"/>
          </m:rPr>
          <m:t>x</m:t>
        </m:r>
      </m:oMath>
      <w:r>
        <w:t xml:space="preserve"> </w:t>
      </w:r>
      <w:r>
        <w:t xml:space="preserve">in the circular set</w:t>
      </w:r>
      <w:r>
        <w:t xml:space="preserve"> </w:t>
      </w:r>
      <m:oMath>
        <m:r>
          <m:rPr>
            <m:sty m:val="p"/>
          </m:rPr>
          <m:t>{</m:t>
        </m:r>
        <m:r>
          <m:rPr>
            <m:sty m:val="p"/>
          </m:rPr>
          <m:t>1</m:t>
        </m:r>
        <m:r>
          <m:rPr>
            <m:sty m:val="p"/>
          </m:rPr>
          <m:t>,</m:t>
        </m:r>
        <m:r>
          <m:rPr>
            <m:sty m:val="p"/>
          </m:rPr>
          <m:t>…</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(Equation 3).</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2</m:t>
          </m:r>
          <m:r>
            <m:rPr>
              <m:sty m:val="p"/>
            </m:rPr>
            <m:t>)</m:t>
          </m:r>
        </m:oMath>
      </m:oMathPara>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w:t>
      </w:r>
    </w:p>
    <w:p>
      <w:r>
        <w:t xml:space="preserve">$$ \beta(x, x_{max}) = \{(x - 2 + x_{max}) \bmod x_{max}\} + 1 \qquad (3)$$</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5</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pPr>
        <w:pStyle w:val="Heading2"/>
      </w:pPr>
      <w:bookmarkStart w:id="26" w:name="niche-construction-prolongs-cooperator-survival"/>
      <w:bookmarkEnd w:id="26"/>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27" w:name="negative-niche-construction-helps"/>
      <w:bookmarkEnd w:id="27"/>
      <w:r>
        <w:t xml:space="preserve">Negative Niche construction helps</w:t>
      </w:r>
    </w:p>
    <w:p>
      <w:r>
        <w:t xml:space="preserve">Runs with wraparound persist indefinitely, while those without do not.</w:t>
      </w:r>
    </w:p>
    <w:p>
      <w:pPr>
        <w:pStyle w:val="Heading2"/>
      </w:pPr>
      <w:bookmarkStart w:id="28" w:name="nc-preventslimits-defector-invasion"/>
      <w:bookmarkEnd w:id="28"/>
      <w:r>
        <w:t xml:space="preserve">NC Prevents/Limits Defector invasion</w:t>
      </w:r>
    </w:p>
    <w:p>
      <w:pPr>
        <w:pStyle w:val="Heading2"/>
      </w:pPr>
      <w:bookmarkStart w:id="29" w:name="nc-enables-cooperator-spread-by-exporting-environment"/>
      <w:bookmarkEnd w:id="29"/>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1" w:name="public-goods"/>
      <w:bookmarkEnd w:id="31"/>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2">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3" w:name="primacyrecency"/>
      <w:bookmarkEnd w:id="33"/>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4" w:name="cooperative-niche-construction"/>
      <w:bookmarkEnd w:id="34"/>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5" w:name="host-symbiont"/>
      <w:bookmarkEnd w:id="35"/>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6" w:name="acknowledgments"/>
      <w:bookmarkEnd w:id="36"/>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Heading3"/>
      </w:pPr>
      <w:bookmarkStart w:id="39" w:name="figure-1a"/>
      <w:bookmarkEnd w:id="39"/>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1" w:name="figure-1b"/>
      <w:bookmarkEnd w:id="41"/>
      <w:r>
        <w:t xml:space="preserve">Figure 1B</w:t>
      </w:r>
    </w:p>
    <w:p>
      <w:r>
        <w:t xml:space="preserve">Proportion of cooperators over time with non-social adaptation</w:t>
      </w:r>
    </w:p>
    <w:p>
      <w:pPr>
        <w:pStyle w:val="Heading3"/>
      </w:pPr>
      <w:bookmarkStart w:id="42" w:name="figure-1c"/>
      <w:bookmarkEnd w:id="42"/>
      <w:r>
        <w:t xml:space="preserve">Figure 1C</w:t>
      </w:r>
    </w:p>
    <w:p>
      <w:r>
        <w:t xml:space="preserve">Proportion of cooperators over time with non-social adaptation and niche construction</w:t>
      </w:r>
      <w:r>
        <w:t xml:space="preserve"> </w:t>
      </w:r>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4" w:name="figure-2"/>
      <w:bookmarkEnd w:id="44"/>
      <w:r>
        <w:t xml:space="preserve">Figure 2</w:t>
      </w:r>
    </w:p>
    <w:p>
      <w:r>
        <w:t xml:space="preserve">Plot showing integral for baseline values, double adaptive benefit (no NC, epsilon=0), no negative NC (L=5, A=5), Extreme negative niche construction (L=1, A=6)</w:t>
      </w:r>
    </w:p>
    <w:p>
      <w:pPr>
        <w:pStyle w:val="Heading2"/>
      </w:pPr>
      <w:bookmarkStart w:id="45" w:name="figure-3"/>
      <w:bookmarkEnd w:id="45"/>
      <w:r>
        <w:t xml:space="preserve">Figure 3</w:t>
      </w:r>
    </w:p>
    <w:p>
      <w:r>
        <w:t xml:space="preserve">Mean fitness over time for the treatments shown in Figure 2</w:t>
      </w:r>
    </w:p>
    <w:p>
      <w:pPr>
        <w:pStyle w:val="Heading3"/>
      </w:pPr>
      <w:bookmarkStart w:id="46" w:name="figure-3b---fitness-with-double-delta-no-epsilon"/>
      <w:bookmarkEnd w:id="46"/>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w:t>
      </w:r>
    </w:p>
    <w:p>
      <w:pPr>
        <w:pStyle w:val="Heading3"/>
      </w:pPr>
      <w:bookmarkStart w:id="48" w:name="figure-3c---fitness-with-no-negative-niche-construction-l5-a5"/>
      <w:bookmarkEnd w:id="48"/>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4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w:t>
      </w:r>
    </w:p>
    <w:p>
      <w:pPr>
        <w:pStyle w:val="Heading3"/>
      </w:pPr>
      <w:bookmarkStart w:id="50" w:name="figure-3d---fitness-with-extreme-negative-niche-construction-l1-a6"/>
      <w:bookmarkEnd w:id="50"/>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w:t>
      </w:r>
    </w:p>
    <w:p>
      <w:pPr>
        <w:pStyle w:val="Heading2"/>
      </w:pPr>
      <w:bookmarkStart w:id="52" w:name="figure-4"/>
      <w:bookmarkEnd w:id="52"/>
      <w:r>
        <w:t xml:space="preserve">Figure 4</w:t>
      </w:r>
    </w:p>
    <w:p>
      <w:r>
        <w:t xml:space="preserve">Cooperators invade from single population</w:t>
      </w:r>
    </w:p>
    <w:p>
      <w:pPr>
        <w:pStyle w:val="Heading2"/>
      </w:pPr>
      <w:bookmarkStart w:id="53" w:name="figure-5"/>
      <w:bookmarkEnd w:id="53"/>
      <w:r>
        <w:t xml:space="preserve">Figure 5</w:t>
      </w:r>
    </w:p>
    <w:p>
      <w:r>
        <w:t xml:space="preserve">Defectors are kept at bay</w:t>
      </w:r>
    </w:p>
    <w:p>
      <w:pPr>
        <w:pStyle w:val="Heading2"/>
      </w:pPr>
      <w:bookmarkStart w:id="54" w:name="figure-6"/>
      <w:bookmarkEnd w:id="54"/>
      <w:r>
        <w:t xml:space="preserve">Figure 6</w:t>
      </w:r>
    </w:p>
    <w:p>
      <w:pPr>
        <w:pStyle w:val="Heading3"/>
      </w:pPr>
      <w:bookmarkStart w:id="55" w:name="figure-6a---effect-of-migration-rate-m"/>
      <w:bookmarkEnd w:id="55"/>
      <w:r>
        <w:t xml:space="preserve">Figure 6A - Effect of Migration Rate (m)</w:t>
      </w:r>
    </w:p>
    <w:p>
      <w:pPr>
        <w:pStyle w:val="Heading3"/>
      </w:pPr>
      <w:bookmarkStart w:id="56" w:name="figure-6b---effect-of-public-good-benefit-smax-smin"/>
      <w:bookmarkEnd w:id="56"/>
      <w:r>
        <w:t xml:space="preserve">Figure 6B - Effect of Public Good Benefit (Smax-Smin)</w:t>
      </w:r>
    </w:p>
    <w:p/>
    <w:p>
      <w:pPr>
        <w:pStyle w:val="Heading1"/>
      </w:pPr>
      <w:bookmarkStart w:id="57" w:name="tables"/>
      <w:bookmarkEnd w:id="57"/>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8" w:name="references"/>
      <w:bookmarkEnd w:id="58"/>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9">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0">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fb3d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bcae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hyperlink" Id="rId32" Target="Coopeative%20Niche%20Construction" TargetMode="External" /><Relationship Type="http://schemas.openxmlformats.org/officeDocument/2006/relationships/hyperlink" Id="rId59" Target="http://dx.doi.org/10.1038/ismej.2014.259" TargetMode="External" /><Relationship Type="http://schemas.openxmlformats.org/officeDocument/2006/relationships/hyperlink" Id="rId60"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2" Target="Coopeative%20Niche%20Construction" TargetMode="External" /><Relationship Type="http://schemas.openxmlformats.org/officeDocument/2006/relationships/hyperlink" Id="rId59" Target="http://dx.doi.org/10.1038/ismej.2014.259" TargetMode="External" /><Relationship Type="http://schemas.openxmlformats.org/officeDocument/2006/relationships/hyperlink" Id="rId60"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