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Confidence intervals were estimated by bootstrapping with 1000 resamples.</w:t>
      </w:r>
    </w:p>
    <w:p>
      <w:pPr>
        <w:pStyle w:val="Heading1"/>
      </w:pPr>
      <w:bookmarkStart w:id="25" w:name="results"/>
      <w:bookmarkEnd w:id="25"/>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27" w:name="fitness-increases-alone-do-not-support-persisting-cooperation"/>
      <w:bookmarkEnd w:id="27"/>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negative-niche-construction-is-critical-to-cooperator-persistence"/>
      <w:bookmarkEnd w:id="28"/>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29" w:name="positive-niche-construction-is-important-to-cooperator-persistence"/>
      <w:bookmarkEnd w:id="29"/>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cooperation-fuels-all-of-this"/>
      <w:bookmarkEnd w:id="32"/>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3" w:name="acknowledgments"/>
      <w:bookmarkEnd w:id="33"/>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34" w:name="figures"/>
      <w:bookmarkEnd w:id="34"/>
      <w:r>
        <w:t xml:space="preserve">Figures</w:t>
      </w:r>
    </w:p>
    <w:p>
      <w:pPr>
        <w:pStyle w:val="Heading2"/>
      </w:pPr>
      <w:bookmarkStart w:id="35" w:name="figure-1"/>
      <w:bookmarkEnd w:id="35"/>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6"/>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Niche construction enables cooperation to be maintained indefinitely. After 3000 cycles, cooperation was the dominant phenotype in 13 of 18 replicate populations.</w:t>
      </w:r>
    </w:p>
    <w:p/>
    <w:p>
      <w:pPr>
        <w:pStyle w:val="Heading2"/>
      </w:pPr>
      <w:bookmarkStart w:id="37" w:name="figure-2"/>
      <w:bookmarkEnd w:id="37"/>
      <w:r>
        <w:t xml:space="preserve">Figure 2</w:t>
      </w:r>
    </w:p>
    <w:p>
      <w:r>
        <w:drawing>
          <wp:inline>
            <wp:extent cx="5334000" cy="193260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8"/>
                    <a:stretch>
                      <a:fillRect/>
                    </a:stretch>
                  </pic:blipFill>
                  <pic:spPr bwMode="auto">
                    <a:xfrm>
                      <a:off x="0" y="0"/>
                      <a:ext cx="5334000" cy="1932609"/>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Positive niche construction alone can not maintain cooperation (</w:t>
      </w:r>
      <m:oMath>
        <m:r>
          <m:rPr>
            <m:sty m:val="p"/>
          </m:rPr>
          <m:t>A</m:t>
        </m:r>
        <m:r>
          <m:rPr>
            <m:sty m:val="p"/>
          </m:rPr>
          <m:t>=</m:t>
        </m:r>
        <m:r>
          <m:rPr>
            <m:sty m:val="p"/>
          </m:rPr>
          <m:t>5</m:t>
        </m:r>
      </m:oMath>
      <w:r>
        <w:t xml:space="preserve">). Here again, cooperation is driven to extinction by equally-adapted defectors. (</w:t>
      </w:r>
      <w:r>
        <w:rPr>
          <w:b/>
        </w:rPr>
        <w:t xml:space="preserve">D</w:t>
      </w:r>
      <w:r>
        <w:t xml:space="preserve">) However, negative niche construction alone is also not sufficient to maintain cooperation, and cooperators are rapidly lost. (TODO do we know how?)</w:t>
      </w:r>
    </w:p>
    <w:p/>
    <w:p>
      <w:pPr>
        <w:pStyle w:val="Heading2"/>
      </w:pPr>
      <w:bookmarkStart w:id="39" w:name="figure-3"/>
      <w:bookmarkEnd w:id="39"/>
      <w:r>
        <w:t xml:space="preserve">Figure 3</w:t>
      </w:r>
    </w:p>
    <w:p>
      <w:r>
        <w:drawing>
          <wp:inline>
            <wp:extent cx="5334000" cy="2216058"/>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0"/>
                    <a:stretch>
                      <a:fillRect/>
                    </a:stretch>
                  </pic:blipFill>
                  <pic:spPr bwMode="auto">
                    <a:xfrm>
                      <a:off x="0" y="0"/>
                      <a:ext cx="5334000" cy="2216058"/>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1" w:name="figure-4"/>
      <w:bookmarkEnd w:id="41"/>
      <w:r>
        <w:t xml:space="preserve">Figure 4</w:t>
      </w:r>
    </w:p>
    <w:p>
      <w:r>
        <w:t xml:space="preserve">Cooperators invade defector population. Fully adapted but mismatched. Negative NC.</w:t>
      </w:r>
    </w:p>
    <w:p>
      <w:pPr>
        <w:pStyle w:val="Heading2"/>
      </w:pPr>
      <w:bookmarkStart w:id="42" w:name="figure-5"/>
      <w:bookmarkEnd w:id="42"/>
      <w:r>
        <w:t xml:space="preserve">Figure 5</w:t>
      </w:r>
    </w:p>
    <w:p>
      <w:r>
        <w:t xml:space="preserve">Defectors invade cooperator population. Fully adapted and matched. Role of Export.</w:t>
      </w:r>
    </w:p>
    <w:p>
      <w:pPr>
        <w:pStyle w:val="Heading2"/>
      </w:pPr>
      <w:bookmarkStart w:id="43" w:name="figure-6"/>
      <w:bookmarkEnd w:id="43"/>
      <w:r>
        <w:t xml:space="preserve">Figure 6</w:t>
      </w:r>
    </w:p>
    <w:p>
      <w:pPr>
        <w:pStyle w:val="Heading3"/>
      </w:pPr>
      <w:bookmarkStart w:id="44" w:name="figure-6a---effect-of-public-good-benefit-smax-smin"/>
      <w:bookmarkEnd w:id="44"/>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4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46" w:name="figure-6b---effect-of-migration-rate-m"/>
      <w:bookmarkEnd w:id="46"/>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c53b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