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0061FF"/>
          <w:sz w:val="52"/>
        </w:rPr>
        <w:t>AI Smart Inbox</w:t>
        <w:br/>
        <w:t>for Invoice Collection</w:t>
      </w:r>
    </w:p>
    <w:p>
      <w:pPr>
        <w:jc w:val="center"/>
      </w:pPr>
      <w:r>
        <w:rPr>
          <w:rFonts w:ascii="Calibri" w:hAnsi="Calibri"/>
          <w:color w:val="555555"/>
          <w:sz w:val="32"/>
        </w:rPr>
        <w:t>AI Evaluation Specification</w:t>
      </w:r>
    </w:p>
    <w:p/>
    <w:p>
      <w:pPr>
        <w:jc w:val="center"/>
      </w:pPr>
      <w:r>
        <w:rPr>
          <w:rFonts w:ascii="Calibri" w:hAnsi="Calibri"/>
          <w:color w:val="888888"/>
          <w:sz w:val="24"/>
        </w:rPr>
        <w:t>Brian Nunes De Souza</w:t>
        <w:br/>
        <w:t>April 2026</w:t>
      </w:r>
    </w:p>
    <w:p>
      <w:r>
        <w:br w:type="page"/>
      </w:r>
    </w:p>
    <w:p>
      <w:pPr>
        <w:pStyle w:val="Heading1"/>
      </w:pPr>
      <w:r>
        <w:t>Purpose and Scope</w:t>
      </w:r>
    </w:p>
    <w:p>
      <w:r>
        <w:t>This document defines how we evaluate the AI system powering the Smart Inbox — covering draft quality, factual accuracy, relevance, and tone. The eval spec serves two purposes: (1) establishing quality gates that must be met before any customer exposure, and (2) defining the ongoing monitoring framework that ensures AI quality is sustained as the product scales.</w:t>
      </w:r>
    </w:p>
    <w:p>
      <w:r>
        <w:t>The fundamental question we need to answer at every stage: are the AI's recommendations genuinely helping pros get paid faster, or are they creating noise?</w:t>
      </w:r>
    </w:p>
    <w:p>
      <w:pPr>
        <w:pStyle w:val="Heading1"/>
      </w:pPr>
      <w:r>
        <w:t>What We Are Evaluating</w:t>
      </w:r>
    </w:p>
    <w:p>
      <w:r>
        <w:t>The AI system performs four functions that each require distinct evaluation: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F0FE"/>
          </w:tcPr>
          <w:p>
            <w:r/>
            <w:r>
              <w:rPr>
                <w:rFonts w:ascii="Calibri" w:hAnsi="Calibri"/>
                <w:b/>
                <w:sz w:val="20"/>
              </w:rPr>
              <w:t>Function</w:t>
            </w:r>
          </w:p>
        </w:tc>
        <w:tc>
          <w:tcPr>
            <w:tcW w:type="dxa" w:w="2880"/>
            <w:shd w:fill="E8F0FE"/>
          </w:tcPr>
          <w:p>
            <w:r/>
            <w:r>
              <w:rPr>
                <w:rFonts w:ascii="Calibri" w:hAnsi="Calibri"/>
                <w:b/>
                <w:sz w:val="20"/>
              </w:rPr>
              <w:t>What It Does</w:t>
            </w:r>
          </w:p>
        </w:tc>
        <w:tc>
          <w:tcPr>
            <w:tcW w:type="dxa" w:w="2880"/>
            <w:shd w:fill="E8F0FE"/>
          </w:tcPr>
          <w:p>
            <w:r/>
            <w:r>
              <w:rPr>
                <w:rFonts w:ascii="Calibri" w:hAnsi="Calibri"/>
                <w:b/>
                <w:sz w:val="20"/>
              </w:rPr>
              <w:t>Key Risk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Action Detection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Identifies which conversations need a payment-related action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False positives (surfacing irrelevant conversations) or false negatives (missing real opportunities)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Action Classification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Categorizes the action type (follow-up, question, summary, payment plan)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Misclassification leads to wrong draft tone and content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Draft Generation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Writes a contextual response for the pro to review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Inaccurate facts, wrong tone, unhelpful content, or hallucinated details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Confidence Scoring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Assigns a confidence level to each recommendation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Poor calibration — high-confidence scores on bad drafts, or overly conservative filtering</w:t>
            </w:r>
          </w:p>
        </w:tc>
      </w:tr>
    </w:tbl>
    <w:p/>
    <w:p>
      <w:pPr>
        <w:pStyle w:val="Heading1"/>
      </w:pPr>
      <w:r>
        <w:t>Evaluation Dimensions</w:t>
      </w:r>
    </w:p>
    <w:p>
      <w:r>
        <w:t>Every AI draft is evaluated across five dimensions. Each dimension has a clear definition and scoring rubric to ensure consistency across evaluators:</w:t>
      </w:r>
    </w:p>
    <w:p>
      <w:pPr>
        <w:pStyle w:val="Heading2"/>
      </w:pPr>
      <w:r>
        <w:t>1. Factual Accuracy (Pass / Fail)</w:t>
      </w:r>
    </w:p>
    <w:p>
      <w:r>
        <w:t>Are all financial details — invoice amounts, line items, dates, customer names — correct and sourced from structured data? This is a binary pass/fail dimension. A single factual error fails the entire draft regardless of other dimension scores.</w:t>
      </w:r>
    </w:p>
    <w:p>
      <w:pPr>
        <w:pStyle w:val="ListBullet"/>
      </w:pPr>
      <w:r>
        <w:t>Invoice total matches the actual invoice</w:t>
      </w:r>
    </w:p>
    <w:p>
      <w:pPr>
        <w:pStyle w:val="ListBullet"/>
      </w:pPr>
      <w:r>
        <w:t>Line item descriptions and amounts are correct</w:t>
      </w:r>
    </w:p>
    <w:p>
      <w:pPr>
        <w:pStyle w:val="ListBullet"/>
      </w:pPr>
      <w:r>
        <w:t>Dates (due dates, promise dates, invoice dates) are accurate</w:t>
      </w:r>
    </w:p>
    <w:p>
      <w:pPr>
        <w:pStyle w:val="ListBullet"/>
      </w:pPr>
      <w:r>
        <w:t>Customer name is correct</w:t>
      </w:r>
    </w:p>
    <w:p>
      <w:pPr>
        <w:pStyle w:val="ListBullet"/>
      </w:pPr>
      <w:r>
        <w:t>No hallucinated charges, services, or details</w:t>
      </w:r>
    </w:p>
    <w:p>
      <w:pPr>
        <w:pStyle w:val="Heading2"/>
      </w:pPr>
      <w:r>
        <w:t>2. Relevance (1–5 scale)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0FE"/>
          </w:tcPr>
          <w:p>
            <w:r/>
            <w:r>
              <w:rPr>
                <w:rFonts w:ascii="Calibri" w:hAnsi="Calibri"/>
                <w:b/>
                <w:sz w:val="20"/>
              </w:rPr>
              <w:t>Score</w:t>
            </w:r>
          </w:p>
        </w:tc>
        <w:tc>
          <w:tcPr>
            <w:tcW w:type="dxa" w:w="4320"/>
            <w:shd w:fill="E8F0FE"/>
          </w:tcPr>
          <w:p>
            <w:r/>
            <w:r>
              <w:rPr>
                <w:rFonts w:ascii="Calibri" w:hAnsi="Calibri"/>
                <w:b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Draft directly addresses the customer's specific question or situation with precision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Draft addresses the right topic but could be more specific to this customer's context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Draft is related but generic — could apply to many customers, not tailored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Draft partially addresses the situation but misses the main point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Draft is irrelevant to the conversation or addresses the wrong issue entirely</w:t>
            </w:r>
          </w:p>
        </w:tc>
      </w:tr>
    </w:tbl>
    <w:p/>
    <w:p>
      <w:pPr>
        <w:pStyle w:val="Heading2"/>
      </w:pPr>
      <w:r>
        <w:t>3. Tone (1–5 scale)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0FE"/>
          </w:tcPr>
          <w:p>
            <w:r/>
            <w:r>
              <w:rPr>
                <w:rFonts w:ascii="Calibri" w:hAnsi="Calibri"/>
                <w:b/>
                <w:sz w:val="20"/>
              </w:rPr>
              <w:t>Score</w:t>
            </w:r>
          </w:p>
        </w:tc>
        <w:tc>
          <w:tcPr>
            <w:tcW w:type="dxa" w:w="4320"/>
            <w:shd w:fill="E8F0FE"/>
          </w:tcPr>
          <w:p>
            <w:r/>
            <w:r>
              <w:rPr>
                <w:rFonts w:ascii="Calibri" w:hAnsi="Calibri"/>
                <w:b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Warm, professional, natural — reads like it came from the pro, not a bot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Appropriate tone but slightly generic; could be warmer or more personalized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Neutral/acceptable but noticeably "template-like"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Tone mismatch (too formal, too casual, or insensitive to the situation)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Tone is inappropriate (aggressive, dismissive, or robotic for the context)</w:t>
            </w:r>
          </w:p>
        </w:tc>
      </w:tr>
    </w:tbl>
    <w:p/>
    <w:p>
      <w:pPr>
        <w:pStyle w:val="Heading2"/>
      </w:pPr>
      <w:r>
        <w:t>4. Helpfulness (1–5 scale)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0FE"/>
          </w:tcPr>
          <w:p>
            <w:r/>
            <w:r>
              <w:rPr>
                <w:rFonts w:ascii="Calibri" w:hAnsi="Calibri"/>
                <w:b/>
                <w:sz w:val="20"/>
              </w:rPr>
              <w:t>Score</w:t>
            </w:r>
          </w:p>
        </w:tc>
        <w:tc>
          <w:tcPr>
            <w:tcW w:type="dxa" w:w="4320"/>
            <w:shd w:fill="E8F0FE"/>
          </w:tcPr>
          <w:p>
            <w:r/>
            <w:r>
              <w:rPr>
                <w:rFonts w:ascii="Calibri" w:hAnsi="Calibri"/>
                <w:b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Sending this draft as-is would likely move the invoice toward payment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Helpful with minor edits needed; addresses the customer's needs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Somewhat helpful but requires significant editing to be sendable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Minimally helpful; pro would be better off writing from scratch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Unhelpful or counterproductive; could damage the customer relationship</w:t>
            </w:r>
          </w:p>
        </w:tc>
      </w:tr>
    </w:tbl>
    <w:p/>
    <w:p>
      <w:pPr>
        <w:pStyle w:val="Heading2"/>
      </w:pPr>
      <w:r>
        <w:t>5. Completeness (1–5 scale)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0FE"/>
          </w:tcPr>
          <w:p>
            <w:r/>
            <w:r>
              <w:rPr>
                <w:rFonts w:ascii="Calibri" w:hAnsi="Calibri"/>
                <w:b/>
                <w:sz w:val="20"/>
              </w:rPr>
              <w:t>Score</w:t>
            </w:r>
          </w:p>
        </w:tc>
        <w:tc>
          <w:tcPr>
            <w:tcW w:type="dxa" w:w="4320"/>
            <w:shd w:fill="E8F0FE"/>
          </w:tcPr>
          <w:p>
            <w:r/>
            <w:r>
              <w:rPr>
                <w:rFonts w:ascii="Calibri" w:hAnsi="Calibri"/>
                <w:b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Addresses all customer concerns; includes relevant invoice context and next steps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Addresses main concern; minor points not covered but not critical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Addresses some concerns but misses important context or follow-up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Incomplete — addresses only part of what the customer asked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Fails to address the customer's actual concern</w:t>
            </w:r>
          </w:p>
        </w:tc>
      </w:tr>
    </w:tbl>
    <w:p/>
    <w:p>
      <w:r>
        <w:br w:type="page"/>
      </w:r>
    </w:p>
    <w:p>
      <w:pPr>
        <w:pStyle w:val="Heading1"/>
      </w:pPr>
      <w:r>
        <w:t>Offline Evaluation (Pre-Launch)</w:t>
      </w:r>
    </w:p>
    <w:p>
      <w:r>
        <w:t>Before any customer-facing deployment, the AI system is tested against a curated test set that covers the full range of expected inputs, including edge cases.</w:t>
      </w:r>
    </w:p>
    <w:p>
      <w:pPr>
        <w:pStyle w:val="Heading2"/>
      </w:pPr>
      <w:r>
        <w:t>Test Set Construction</w:t>
      </w:r>
    </w:p>
    <w:p>
      <w:pPr>
        <w:pStyle w:val="ListBullet"/>
      </w:pPr>
      <w:r>
        <w:rPr>
          <w:b/>
        </w:rPr>
        <w:t xml:space="preserve">50+ synthetic conversation scenarios </w:t>
      </w:r>
      <w:r>
        <w:t>spanning all 4 action types, built from real-world patterns observed in customer research.</w:t>
      </w:r>
    </w:p>
    <w:p>
      <w:pPr>
        <w:pStyle w:val="ListBullet"/>
      </w:pPr>
      <w:r>
        <w:rPr>
          <w:b/>
        </w:rPr>
        <w:t xml:space="preserve">Edge cases included: </w:t>
      </w:r>
      <w:r>
        <w:t>ambiguous customer intent, multiple questions in one message, emotional or frustrated language, incorrect customer assumptions about charges, conversations with insufficient context for a recommendation.</w:t>
      </w:r>
    </w:p>
    <w:p>
      <w:pPr>
        <w:pStyle w:val="ListBullet"/>
      </w:pPr>
      <w:r>
        <w:rPr>
          <w:b/>
        </w:rPr>
        <w:t xml:space="preserve">Gold standard responses </w:t>
      </w:r>
      <w:r>
        <w:t>written by domain experts (real home service pros or experienced HCP support staff) for each scenario.</w:t>
      </w:r>
    </w:p>
    <w:p>
      <w:pPr>
        <w:pStyle w:val="ListBullet"/>
      </w:pPr>
      <w:r>
        <w:rPr>
          <w:b/>
        </w:rPr>
        <w:t xml:space="preserve">Negative examples: </w:t>
      </w:r>
      <w:r>
        <w:t>conversations where the AI should not generate a recommendation (e.g., paid invoices, scheduling-only threads) to test false positive rates.</w:t>
      </w:r>
    </w:p>
    <w:p>
      <w:pPr>
        <w:pStyle w:val="Heading2"/>
      </w:pPr>
      <w:r>
        <w:t>Evaluation Process</w:t>
      </w:r>
    </w:p>
    <w:p>
      <w:pPr>
        <w:pStyle w:val="ListNumber"/>
      </w:pPr>
      <w:r>
        <w:t>Generate AI drafts for each scenario in the test set.</w:t>
      </w:r>
    </w:p>
    <w:p>
      <w:pPr>
        <w:pStyle w:val="ListNumber"/>
      </w:pPr>
      <w:r>
        <w:t>Three independent human annotators rate each draft on all five dimensions.</w:t>
      </w:r>
    </w:p>
    <w:p>
      <w:pPr>
        <w:pStyle w:val="ListNumber"/>
      </w:pPr>
      <w:r>
        <w:t>Measure inter-annotator agreement using Cohen's kappa (κ).</w:t>
      </w:r>
    </w:p>
    <w:p>
      <w:pPr>
        <w:pStyle w:val="ListNumber"/>
      </w:pPr>
      <w:r>
        <w:t>Factual accuracy checked programmatically against structured invoice data.</w:t>
      </w:r>
    </w:p>
    <w:p>
      <w:pPr>
        <w:pStyle w:val="ListNumber"/>
      </w:pPr>
      <w:r>
        <w:t>Compare AI drafts to gold standard responses on relevance and completeness.</w:t>
      </w:r>
    </w:p>
    <w:p>
      <w:pPr>
        <w:pStyle w:val="Heading2"/>
      </w:pPr>
      <w:r>
        <w:t>Pass Criteria for Launch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0FE"/>
          </w:tcPr>
          <w:p>
            <w:r/>
            <w:r>
              <w:rPr>
                <w:rFonts w:ascii="Calibri" w:hAnsi="Calibri"/>
                <w:b/>
                <w:sz w:val="20"/>
              </w:rPr>
              <w:t>Dimension</w:t>
            </w:r>
          </w:p>
        </w:tc>
        <w:tc>
          <w:tcPr>
            <w:tcW w:type="dxa" w:w="4320"/>
            <w:shd w:fill="E8F0FE"/>
          </w:tcPr>
          <w:p>
            <w:r/>
            <w:r>
              <w:rPr>
                <w:rFonts w:ascii="Calibri" w:hAnsi="Calibri"/>
                <w:b/>
                <w:sz w:val="20"/>
              </w:rPr>
              <w:t>Threshold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Factual accuracy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100% pass rate (zero failures)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Average relevance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≥ 4.0 / 5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Average tone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≥ 4.0 / 5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Average helpfulness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≥ 3.5 / 5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Average completeness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≥ 3.5 / 5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Inter-annotator agreement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κ ≥ 0.7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False positive rate (action detection)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&lt; 5%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Action type classification accuracy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≥ 95%</w:t>
            </w:r>
          </w:p>
        </w:tc>
      </w:tr>
    </w:tbl>
    <w:p/>
    <w:p>
      <w:pPr>
        <w:pStyle w:val="Heading1"/>
      </w:pPr>
      <w:r>
        <w:t>Online Evaluation (Post-Launch)</w:t>
      </w:r>
    </w:p>
    <w:p>
      <w:r>
        <w:t>Once the AI is live, we shift to continuous monitoring using both implicit behavioral signals and explicit pro feedback.</w:t>
      </w:r>
    </w:p>
    <w:p>
      <w:pPr>
        <w:pStyle w:val="Heading2"/>
      </w:pPr>
      <w:r>
        <w:t>Implicit Behavioral Signals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F0FE"/>
          </w:tcPr>
          <w:p>
            <w:r/>
            <w:r>
              <w:rPr>
                <w:rFonts w:ascii="Calibri" w:hAnsi="Calibri"/>
                <w:b/>
                <w:sz w:val="20"/>
              </w:rPr>
              <w:t>Signal</w:t>
            </w:r>
          </w:p>
        </w:tc>
        <w:tc>
          <w:tcPr>
            <w:tcW w:type="dxa" w:w="2880"/>
            <w:shd w:fill="E8F0FE"/>
          </w:tcPr>
          <w:p>
            <w:r/>
            <w:r>
              <w:rPr>
                <w:rFonts w:ascii="Calibri" w:hAnsi="Calibri"/>
                <w:b/>
                <w:sz w:val="20"/>
              </w:rPr>
              <w:t>What It Tells Us</w:t>
            </w:r>
          </w:p>
        </w:tc>
        <w:tc>
          <w:tcPr>
            <w:tcW w:type="dxa" w:w="2880"/>
            <w:shd w:fill="E8F0FE"/>
          </w:tcPr>
          <w:p>
            <w:r/>
            <w:r>
              <w:rPr>
                <w:rFonts w:ascii="Calibri" w:hAnsi="Calibri"/>
                <w:b/>
                <w:sz w:val="20"/>
              </w:rPr>
              <w:t>How We Measure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Send rate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Overall draft quality and relevance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% of drafts sent (as-is or edited) vs. dismissed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Edit rate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How close drafts are to "ready to send"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% of drafts edited before sending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Edit distance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How much pros change the draft content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Levenshtein distance between AI draft and sent message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Dismiss rate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Irrelevance or quality problems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% of action cards dismissed without action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Time-to-action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Whether AI speeds up pro response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Time from action card appearance to pro response vs. baseline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Payment outcome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Whether AI-assisted conversations get paid faster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Days-to-payment for AI-assisted vs. non-assisted conversations</w:t>
            </w:r>
          </w:p>
        </w:tc>
      </w:tr>
    </w:tbl>
    <w:p/>
    <w:p>
      <w:pPr>
        <w:pStyle w:val="Heading2"/>
      </w:pPr>
      <w:r>
        <w:t>Explicit Feedback Signals</w:t>
      </w:r>
    </w:p>
    <w:p>
      <w:pPr>
        <w:pStyle w:val="ListBullet"/>
      </w:pPr>
      <w:r>
        <w:rPr>
          <w:b/>
        </w:rPr>
        <w:t xml:space="preserve">Thumbs up / down on drafts (P2 feature). </w:t>
      </w:r>
      <w:r>
        <w:t>Direct quality signal from the pro on individual recommendations.</w:t>
      </w:r>
    </w:p>
    <w:p>
      <w:pPr>
        <w:pStyle w:val="ListBullet"/>
      </w:pPr>
      <w:r>
        <w:rPr>
          <w:b/>
        </w:rPr>
        <w:t xml:space="preserve">Dismiss reason (optional). </w:t>
      </w:r>
      <w:r>
        <w:t>When a pro dismisses, a lightweight prompt asks why: "Not relevant," "Wrong tone," "Inaccurate info," or "Already handled."</w:t>
      </w:r>
    </w:p>
    <w:p>
      <w:pPr>
        <w:pStyle w:val="ListBullet"/>
      </w:pPr>
      <w:r>
        <w:rPr>
          <w:b/>
        </w:rPr>
        <w:t xml:space="preserve">Periodic NPS surveys. </w:t>
      </w:r>
      <w:r>
        <w:t>At 7 and 30 days post-enablement, ask: "How likely are you to recommend the AI inbox to another pro?"</w:t>
      </w:r>
    </w:p>
    <w:p>
      <w:pPr>
        <w:pStyle w:val="Heading1"/>
      </w:pPr>
      <w:r>
        <w:t>Confidence Calibration</w:t>
      </w:r>
    </w:p>
    <w:p>
      <w:r>
        <w:t>The AI assigns a confidence score (0–100%) to each recommendation. For the system to be trustworthy, stated confidence must correlate with actual quality:</w:t>
      </w:r>
    </w:p>
    <w:p>
      <w:pPr>
        <w:pStyle w:val="ListBullet"/>
      </w:pPr>
      <w:r>
        <w:t>A draft with 90% confidence should be sent (as-is or edited) approximately 90% of the time.</w:t>
      </w:r>
    </w:p>
    <w:p>
      <w:pPr>
        <w:pStyle w:val="ListBullet"/>
      </w:pPr>
      <w:r>
        <w:t>Track confidence vs. send rate weekly. If they diverge (e.g., 90% confidence but only 60% send rate), the confidence model needs recalibration.</w:t>
      </w:r>
    </w:p>
    <w:p>
      <w:pPr>
        <w:pStyle w:val="ListBullet"/>
      </w:pPr>
      <w:r>
        <w:t>Adjust the minimum confidence threshold for showing recommendations based on observed performance. Start conservative (higher threshold) and lower it as the system proves itself.</w:t>
      </w:r>
    </w:p>
    <w:p>
      <w:pPr>
        <w:pStyle w:val="Heading1"/>
      </w:pPr>
      <w:r>
        <w:t>Prompt Regression Testing</w:t>
      </w:r>
    </w:p>
    <w:p>
      <w:r>
        <w:t>Every change to the AI prompts (system prompts, user prompt templates, or model parameters) goes through regression testing before deployment:</w:t>
      </w:r>
    </w:p>
    <w:p>
      <w:pPr>
        <w:pStyle w:val="ListBullet"/>
      </w:pPr>
      <w:r>
        <w:rPr>
          <w:b/>
        </w:rPr>
        <w:t xml:space="preserve">Fixed critical test set: </w:t>
      </w:r>
      <w:r>
        <w:t>20 "golden" scenarios that represent the most important and most common situations. Any degradation on these blocks the prompt change.</w:t>
      </w:r>
    </w:p>
    <w:p>
      <w:pPr>
        <w:pStyle w:val="ListBullet"/>
      </w:pPr>
      <w:r>
        <w:rPr>
          <w:b/>
        </w:rPr>
        <w:t xml:space="preserve">Full test set run: </w:t>
      </w:r>
      <w:r>
        <w:t>All 50+ scenarios re-evaluated after significant prompt changes. Results compared to baseline.</w:t>
      </w:r>
    </w:p>
    <w:p>
      <w:pPr>
        <w:pStyle w:val="ListBullet"/>
      </w:pPr>
      <w:r>
        <w:rPr>
          <w:b/>
        </w:rPr>
        <w:t xml:space="preserve">Prompt versioning: </w:t>
      </w:r>
      <w:r>
        <w:t>Every prompt change is version-controlled with a changelog documenting what changed and why.</w:t>
      </w:r>
    </w:p>
    <w:p>
      <w:pPr>
        <w:pStyle w:val="ListBullet"/>
      </w:pPr>
      <w:r>
        <w:rPr>
          <w:b/>
        </w:rPr>
        <w:t xml:space="preserve">A/B testing for major changes: </w:t>
      </w:r>
      <w:r>
        <w:t>Significant prompt rewrites are tested in a shadow mode (generate both old and new drafts, compare quality) before replacing the live prompt.</w:t>
      </w:r>
    </w:p>
    <w:p>
      <w:pPr>
        <w:pStyle w:val="Heading1"/>
      </w:pPr>
      <w:r>
        <w:t>Monitoring and Alerting</w:t>
      </w:r>
    </w:p>
    <w:p>
      <w:pPr>
        <w:pStyle w:val="Heading2"/>
      </w:pPr>
      <w:r>
        <w:t>Real-Time Dashboards</w:t>
      </w:r>
    </w:p>
    <w:p>
      <w:pPr>
        <w:pStyle w:val="ListBullet"/>
      </w:pPr>
      <w:r>
        <w:t>Draft send rate, edit rate, and dismiss rate (rolling 24h, 7d, 30d)</w:t>
      </w:r>
    </w:p>
    <w:p>
      <w:pPr>
        <w:pStyle w:val="ListBullet"/>
      </w:pPr>
      <w:r>
        <w:t>Confidence score distribution (are scores clustering? shifting?)</w:t>
      </w:r>
    </w:p>
    <w:p>
      <w:pPr>
        <w:pStyle w:val="ListBullet"/>
      </w:pPr>
      <w:r>
        <w:t>Factual error reports (any pro-reported inaccuracies)</w:t>
      </w:r>
    </w:p>
    <w:p>
      <w:pPr>
        <w:pStyle w:val="ListBullet"/>
      </w:pPr>
      <w:r>
        <w:t>Action type breakdown (which types are performing best/worst?)</w:t>
      </w:r>
    </w:p>
    <w:p>
      <w:pPr>
        <w:pStyle w:val="ListBullet"/>
      </w:pPr>
      <w:r>
        <w:t>Latency (draft generation time p50, p95, p99)</w:t>
      </w:r>
    </w:p>
    <w:p>
      <w:pPr>
        <w:pStyle w:val="Heading2"/>
      </w:pPr>
      <w:r>
        <w:t>Automated Alerts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F0FE"/>
          </w:tcPr>
          <w:p>
            <w:r/>
            <w:r>
              <w:rPr>
                <w:rFonts w:ascii="Calibri" w:hAnsi="Calibri"/>
                <w:b/>
                <w:sz w:val="20"/>
              </w:rPr>
              <w:t>Condition</w:t>
            </w:r>
          </w:p>
        </w:tc>
        <w:tc>
          <w:tcPr>
            <w:tcW w:type="dxa" w:w="2880"/>
            <w:shd w:fill="E8F0FE"/>
          </w:tcPr>
          <w:p>
            <w:r/>
            <w:r>
              <w:rPr>
                <w:rFonts w:ascii="Calibri" w:hAnsi="Calibri"/>
                <w:b/>
                <w:sz w:val="20"/>
              </w:rPr>
              <w:t>Alert Level</w:t>
            </w:r>
          </w:p>
        </w:tc>
        <w:tc>
          <w:tcPr>
            <w:tcW w:type="dxa" w:w="2880"/>
            <w:shd w:fill="E8F0FE"/>
          </w:tcPr>
          <w:p>
            <w:r/>
            <w:r>
              <w:rPr>
                <w:rFonts w:ascii="Calibri" w:hAnsi="Calibri"/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Dismiss rate &gt; 20% (rolling 24h)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Warning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Investigate; review recent drafts for quality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Any factual error reported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Critical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Immediate investigation; potential feature pause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Send rate drops &gt; 10% week-over-week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Warning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Review prompt changes; check for model behavior shifts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Draft generation latency p95 &gt; 10s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Warning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Investigate API performance; consider timeout adjustments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Section dismiss rate &gt; 5%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Critical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Pause rollout expansion; schedule user research sessions</w:t>
            </w:r>
          </w:p>
        </w:tc>
      </w:tr>
    </w:tbl>
    <w:p/>
    <w:p>
      <w:pPr>
        <w:pStyle w:val="Heading1"/>
      </w:pPr>
      <w:r>
        <w:t>Evaluation Cadence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0FE"/>
          </w:tcPr>
          <w:p>
            <w:r/>
            <w:r>
              <w:rPr>
                <w:rFonts w:ascii="Calibri" w:hAnsi="Calibri"/>
                <w:b/>
                <w:sz w:val="20"/>
              </w:rPr>
              <w:t>Cadence</w:t>
            </w:r>
          </w:p>
        </w:tc>
        <w:tc>
          <w:tcPr>
            <w:tcW w:type="dxa" w:w="4320"/>
            <w:shd w:fill="E8F0FE"/>
          </w:tcPr>
          <w:p>
            <w:r/>
            <w:r>
              <w:rPr>
                <w:rFonts w:ascii="Calibri" w:hAnsi="Calibri"/>
                <w:b/>
                <w:sz w:val="20"/>
              </w:rPr>
              <w:t>Activity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Daily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Automated dashboard review; alert triage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Weekly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Manual review of 10–20 randomly sampled drafts across action types; confidence calibration check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Monthly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Full eval run against complete test set; analyze edit patterns for prompt improvement opportunities; publish quality report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Quarterly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Refresh test set with new real-world scenarios discovered in production; recalibrate confidence thresholds; review whether Phase 2 criteria are met</w:t>
            </w:r>
          </w:p>
        </w:tc>
      </w:tr>
    </w:tbl>
    <w:p/>
    <w:p>
      <w:pPr>
        <w:pStyle w:val="Heading1"/>
      </w:pPr>
      <w:r>
        <w:t>Eval Metrics That Gate Rollout Decisions</w:t>
      </w:r>
    </w:p>
    <w:p>
      <w:r>
        <w:t>The eval spec is not academic — it directly controls product rollout decisions. The following eval outcomes gate each phase transition: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0FE"/>
          </w:tcPr>
          <w:p>
            <w:r/>
            <w:r>
              <w:rPr>
                <w:rFonts w:ascii="Calibri" w:hAnsi="Calibri"/>
                <w:b/>
                <w:sz w:val="20"/>
              </w:rPr>
              <w:t>Transition</w:t>
            </w:r>
          </w:p>
        </w:tc>
        <w:tc>
          <w:tcPr>
            <w:tcW w:type="dxa" w:w="4320"/>
            <w:shd w:fill="E8F0FE"/>
          </w:tcPr>
          <w:p>
            <w:r/>
            <w:r>
              <w:rPr>
                <w:rFonts w:ascii="Calibri" w:hAnsi="Calibri"/>
                <w:b/>
                <w:sz w:val="20"/>
              </w:rPr>
              <w:t>Eval Requirements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Offline → Beta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Pass all offline eval thresholds (100% factual accuracy, ≥4.0 relevance, ≥4.0 tone, ≥3.5 helpfulness)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Beta → A/B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Online send rate &gt;60%, dismiss rate &lt;25%, zero factual errors, positive qualitative feedback from beta pros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A/B → GA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Statistically significant improvement in days-to-payment, online send rate &gt;70%, dismiss rate &lt;20%, confidence calibration within 10% of actual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GA → Phase 2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90+ days of sustained metrics at scale, no factual errors, NPS &gt; 30, explicit pro demand for auto-send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40"/>
    </w:pPr>
    <w:rPr>
      <w:rFonts w:ascii="Calibri" w:hAnsi="Calibri"/>
      <w:color w:val="1C1C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61F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61F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61F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