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Calibri" w:hAnsi="Calibri"/>
          <w:b/>
          <w:color w:val="0061FF"/>
          <w:sz w:val="52"/>
        </w:rPr>
        <w:t>AI Smart Inbox</w:t>
        <w:br/>
        <w:t>for Invoice Collection</w:t>
      </w:r>
    </w:p>
    <w:p>
      <w:pPr>
        <w:jc w:val="center"/>
      </w:pPr>
      <w:r>
        <w:rPr>
          <w:rFonts w:ascii="Calibri" w:hAnsi="Calibri"/>
          <w:color w:val="555555"/>
          <w:sz w:val="32"/>
        </w:rPr>
        <w:t>Process Document</w:t>
      </w:r>
    </w:p>
    <w:p/>
    <w:p>
      <w:pPr>
        <w:jc w:val="center"/>
      </w:pPr>
      <w:r>
        <w:rPr>
          <w:rFonts w:ascii="Calibri" w:hAnsi="Calibri"/>
          <w:color w:val="888888"/>
          <w:sz w:val="24"/>
        </w:rPr>
        <w:t>Brian Nunes De Souza</w:t>
        <w:br/>
        <w:t>April 2026</w:t>
      </w:r>
    </w:p>
    <w:p>
      <w:r>
        <w:br w:type="page"/>
      </w:r>
    </w:p>
    <w:p>
      <w:pPr>
        <w:pStyle w:val="Heading1"/>
      </w:pPr>
      <w:r>
        <w:t>1. Problem Framing</w:t>
      </w:r>
    </w:p>
    <w:p>
      <w:pPr>
        <w:pStyle w:val="Heading2"/>
      </w:pPr>
      <w:r>
        <w:t>The Pain Point</w:t>
      </w:r>
    </w:p>
    <w:p>
      <w:r>
        <w:t>After a home service professional sends an invoice, the conversation doesn't end — it often just begins. Customers ask questions ("Why was I charged for floor leveling?"), make promises ("I'll pay Friday"), express concerns ("Can I split this up?"), or simply go quiet. These messages land in the same inbox as scheduling requests, job updates, and general chatter. For a busy pro who's on a job site all day, the payment-critical messages get buried — and every day of silence costs money.</w:t>
      </w:r>
    </w:p>
    <w:p>
      <w:r>
        <w:t>This is not a payments infrastructure problem. HouseCall Pro already supports cards, ACH, financing, BNPL, and tap-to-pay. The tools to pay exist. What's missing is the conversation that gets customers to actually pay.</w:t>
      </w:r>
    </w:p>
    <w:p>
      <w:pPr>
        <w:pStyle w:val="Heading2"/>
      </w:pPr>
      <w:r>
        <w:t>How I Got Here: Customer Discovery</w:t>
      </w:r>
    </w:p>
    <w:p>
      <w:r>
        <w:t>I started this project where good product work should always start — by talking to real customers. My father and stepmother run a small flooring company with just three employees. I sat down with them and walked through their entire invoice-to-payment workflow, from estimate through final collection. Their experiences became the foundation for this product concept.</w:t>
      </w:r>
    </w:p>
    <w:p>
      <w:r>
        <w:rPr>
          <w:b/>
        </w:rPr>
        <w:t>Key findings from these interviews:</w:t>
      </w:r>
    </w:p>
    <w:p>
      <w:pPr>
        <w:pStyle w:val="ListBullet"/>
      </w:pPr>
      <w:r>
        <w:rPr>
          <w:b/>
        </w:rPr>
        <w:t xml:space="preserve">Invoice timing is front-loaded in flooring. </w:t>
      </w:r>
      <w:r>
        <w:t>Because flooring requires knowing house dimensions for pricing, invoices are often well-defined and sent before or soon after work begins. This means the "question window" opens early — customers review charges before work is even complete.</w:t>
      </w:r>
    </w:p>
    <w:p>
      <w:pPr>
        <w:pStyle w:val="ListBullet"/>
      </w:pPr>
      <w:r>
        <w:rPr>
          <w:b/>
        </w:rPr>
        <w:t xml:space="preserve">Customer questions are the #1 bottleneck to payment. </w:t>
      </w:r>
      <w:r>
        <w:t>When customers receive an invoice, they frequently ask questions — many of which were already discussed in earlier conversations or are common FAQs. For example: "Why did you charge me for float?" (a leveling compound applied to uneven subfloors). These questions are routine for the pro but novel and confusing for the customer. Customers delay paying until they get clarity.</w:t>
      </w:r>
    </w:p>
    <w:p>
      <w:pPr>
        <w:pStyle w:val="ListBullet"/>
      </w:pPr>
      <w:r>
        <w:rPr>
          <w:b/>
        </w:rPr>
        <w:t xml:space="preserve">Busy pros forget to follow up. </w:t>
      </w:r>
      <w:r>
        <w:t>My family described how, when they're in the middle of a flooring installation, they can't stop to answer invoice questions on their phone. By the time they're done for the day, the customer's message is buried under other notifications. They lose the customer's momentum to pay.</w:t>
      </w:r>
    </w:p>
    <w:p>
      <w:pPr>
        <w:pStyle w:val="ListBullet"/>
      </w:pPr>
      <w:r>
        <w:rPr>
          <w:b/>
        </w:rPr>
        <w:t xml:space="preserve">The "someone else will handle it" problem. </w:t>
      </w:r>
      <w:r>
        <w:t>Even in their 3-person company, messages fall through the cracks because everyone assumes someone else responded. In larger companies with dedicated office staff, this compounds — the person who answers messages often can't answer billing questions and has to escalate to the owner, creating additional delay.</w:t>
      </w:r>
    </w:p>
    <w:p>
      <w:pPr>
        <w:pStyle w:val="ListBullet"/>
      </w:pPr>
      <w:r>
        <w:rPr>
          <w:b/>
        </w:rPr>
        <w:t xml:space="preserve">Pros do not want AI talking directly to their customers. </w:t>
      </w:r>
      <w:r>
        <w:t>This was a surprising and critical insight. My family was clear: as customers themselves, they don't like interacting with AI. They value the personal relationship with their service provider. "I want to know I'm talking to a person, not a robot." This fundamentally shaped my approach — AI assists the pro behind the scenes; it never speaks to the customer directly.</w:t>
      </w:r>
    </w:p>
    <w:p>
      <w:pPr>
        <w:pStyle w:val="Heading2"/>
      </w:pPr>
      <w:r>
        <w:t>Validating with Industry Data</w:t>
      </w:r>
    </w:p>
    <w:p>
      <w:r>
        <w:t>After grounding the problem in firsthand research, I used AI tools (Claude, ChatGPT) to investigate whether these patterns hold across other home service verticals — plumbing, HVAC, electrical, cleaning, and general contracting. The data strongly confirmed my family's experience:</w:t>
      </w:r>
    </w:p>
    <w:p>
      <w:pPr>
        <w:pStyle w:val="ListBullet"/>
      </w:pPr>
      <w:r>
        <w:rPr>
          <w:b/>
        </w:rPr>
        <w:t xml:space="preserve">60% of small business owners avoid confronting customers </w:t>
      </w:r>
      <w:r>
        <w:t>about delinquent bills for fear of damaging the relationship (Old National Bank, 2025).</w:t>
      </w:r>
    </w:p>
    <w:p>
      <w:pPr>
        <w:pStyle w:val="ListBullet"/>
      </w:pPr>
      <w:r>
        <w:rPr>
          <w:b/>
        </w:rPr>
        <w:t xml:space="preserve">56% of small businesses are owed money </w:t>
      </w:r>
      <w:r>
        <w:t>from unpaid invoices, averaging $17,500 per business (QuickBooks 2025 Late Payments Report).</w:t>
      </w:r>
    </w:p>
    <w:p>
      <w:pPr>
        <w:pStyle w:val="ListBullet"/>
      </w:pPr>
      <w:r>
        <w:rPr>
          <w:b/>
        </w:rPr>
        <w:t xml:space="preserve">Collection probability drops sharply with time: </w:t>
      </w:r>
      <w:r>
        <w:t>94% at 30 days past due, 74% at 90 days, and only 50% at 6 months (Commercial Collection Agency Association). Every day of silence is measurably costly.</w:t>
      </w:r>
    </w:p>
    <w:p>
      <w:pPr>
        <w:pStyle w:val="ListBullet"/>
      </w:pPr>
      <w:r>
        <w:rPr>
          <w:b/>
        </w:rPr>
        <w:t xml:space="preserve">One reminder increases payment likelihood by ~50% </w:t>
      </w:r>
      <w:r>
        <w:t>(Xero). AI-generated reminders get paid 5 days faster (QuickBooks 2025).</w:t>
      </w:r>
    </w:p>
    <w:p>
      <w:pPr>
        <w:pStyle w:val="ListBullet"/>
      </w:pPr>
      <w:r>
        <w:rPr>
          <w:b/>
        </w:rPr>
        <w:t xml:space="preserve">SMS-delivered invoices are paid 32–40% faster </w:t>
      </w:r>
      <w:r>
        <w:t>than email-only (Podium/Broadly data), yet HCP's automated reminders are email-only.</w:t>
      </w:r>
    </w:p>
    <w:p>
      <w:pPr>
        <w:pStyle w:val="ListBullet"/>
      </w:pPr>
      <w:r>
        <w:rPr>
          <w:b/>
        </w:rPr>
        <w:t xml:space="preserve">Dispute over work scope or pricing is the #1 reason </w:t>
      </w:r>
      <w:r>
        <w:t>for non-payment in home services (SCORE/SBA).</w:t>
      </w:r>
    </w:p>
    <w:p>
      <w:pPr>
        <w:pStyle w:val="Heading2"/>
      </w:pPr>
      <w:r>
        <w:t>The Invoice Payment Funnel</w:t>
      </w:r>
    </w:p>
    <w:p>
      <w:r>
        <w:t>Think of the invoice lifecycle as a funnel:</w:t>
      </w:r>
    </w:p>
    <w:p>
      <w:r>
        <w:t>Invoice Sent → Customer Receives → Questions / Concerns Arise → Pro Responds → Payment Made</w:t>
      </w:r>
    </w:p>
    <w:p>
      <w:r>
        <w:t>Today, the funnel leaks at the "Questions / Concerns" stage. Customers delay paying until their questions are answered. Pros delay answering because they're busy. The longer the gap, the lower the collection probability. AI can plug this leak — not by replacing the pro, but by having a response ready the moment they check their inbox.</w:t>
      </w:r>
    </w:p>
    <w:p>
      <w:pPr>
        <w:pStyle w:val="Heading2"/>
      </w:pPr>
      <w:r>
        <w:t>What "Good" Looks Like</w:t>
      </w:r>
    </w:p>
    <w:p>
      <w:pPr>
        <w:pStyle w:val="ListBullet"/>
      </w:pPr>
      <w:r>
        <w:t>Pro opens their inbox and immediately sees the 2–3 most important payment-related actions — no hunting.</w:t>
      </w:r>
    </w:p>
    <w:p>
      <w:pPr>
        <w:pStyle w:val="ListBullet"/>
      </w:pPr>
      <w:r>
        <w:t>Each action has an AI-drafted message ready to send, grounded in actual conversation context and invoice details.</w:t>
      </w:r>
    </w:p>
    <w:p>
      <w:pPr>
        <w:pStyle w:val="ListBullet"/>
      </w:pPr>
      <w:r>
        <w:t>Pro can see WHY the AI recommended this action (source messages, reasoning chain).</w:t>
      </w:r>
    </w:p>
    <w:p>
      <w:pPr>
        <w:pStyle w:val="ListBullet"/>
      </w:pPr>
      <w:r>
        <w:t>Pro can send as-is or edit the draft — they stay in full control.</w:t>
      </w:r>
    </w:p>
    <w:p>
      <w:pPr>
        <w:pStyle w:val="ListBullet"/>
      </w:pPr>
      <w:r>
        <w:t>Customers get timely, helpful responses about their invoices within hours, not days.</w:t>
      </w:r>
    </w:p>
    <w:p>
      <w:pPr>
        <w:pStyle w:val="ListBullet"/>
      </w:pPr>
      <w:r>
        <w:t>Average days-to-payment decreases. The aging invoice tail shortens.</w:t>
      </w:r>
    </w:p>
    <w:p>
      <w:pPr>
        <w:pStyle w:val="ListBullet"/>
      </w:pPr>
      <w:r>
        <w:t>Pro never has to make an uncomfortable "where's my money?" phone call.</w:t>
      </w:r>
    </w:p>
    <w:p>
      <w:pPr>
        <w:pStyle w:val="Heading2"/>
      </w:pPr>
      <w:r>
        <w:t>What Failure Looks Like</w:t>
      </w:r>
    </w:p>
    <w:p>
      <w:pPr>
        <w:pStyle w:val="ListBullet"/>
      </w:pPr>
      <w:r>
        <w:t>AI surfaces irrelevant or low-confidence actions — noise instead of signal.</w:t>
      </w:r>
    </w:p>
    <w:p>
      <w:pPr>
        <w:pStyle w:val="ListBullet"/>
      </w:pPr>
      <w:r>
        <w:t>Drafted messages are inaccurate (wrong amounts, wrong customer) or tone-deaf.</w:t>
      </w:r>
    </w:p>
    <w:p>
      <w:pPr>
        <w:pStyle w:val="ListBullet"/>
      </w:pPr>
      <w:r>
        <w:t>Pro loses trust and ignores the AI recommendations entirely.</w:t>
      </w:r>
    </w:p>
    <w:p>
      <w:pPr>
        <w:pStyle w:val="ListBullet"/>
      </w:pPr>
      <w:r>
        <w:t>The feature overlaps with existing HCP automated reminders, creating customer confusion.</w:t>
      </w:r>
    </w:p>
    <w:p>
      <w:pPr>
        <w:pStyle w:val="ListBullet"/>
      </w:pPr>
      <w:r>
        <w:t>Customers receive responses that feel robotic or impersonal.</w:t>
      </w:r>
    </w:p>
    <w:p>
      <w:pPr>
        <w:pStyle w:val="ListBullet"/>
      </w:pPr>
      <w:r>
        <w:t>Pro feels they've lost control of their customer relationships.</w:t>
      </w:r>
    </w:p>
    <w:p>
      <w:pPr>
        <w:pStyle w:val="ListBullet"/>
      </w:pPr>
      <w:r>
        <w:t>Dismiss rates are high, indicating recommendations aren't valuable to pros.</w:t>
      </w:r>
    </w:p>
    <w:p>
      <w:r>
        <w:br w:type="page"/>
      </w:r>
    </w:p>
    <w:p>
      <w:pPr>
        <w:pStyle w:val="Heading1"/>
      </w:pPr>
      <w:r>
        <w:t>2. Solution Design</w:t>
      </w:r>
    </w:p>
    <w:p>
      <w:pPr>
        <w:pStyle w:val="Heading2"/>
      </w:pPr>
      <w:r>
        <w:t>Approach: AI Smart Inbox</w:t>
      </w:r>
    </w:p>
    <w:p>
      <w:r>
        <w:t>Enhance the existing HouseCall Pro messaging inbox with an intelligent layer that surfaces high-priority, payment-related actions as cards at the top of the inbox. Each card represents an AI-identified opportunity to move an invoice toward payment.</w:t>
      </w:r>
    </w:p>
    <w:p>
      <w:r>
        <w:t>The core insight: HouseCall Pro already has incredibly rich context — conversation history, invoice details, job records, customer profiles. Today, the pro has to mentally synthesize all of this to decide what to do and what to say. AI can do this synthesis instantly and present the pro with a ready-to-send response, saving time and ensuring no opportunity is missed.</w:t>
      </w:r>
    </w:p>
    <w:p>
      <w:pPr>
        <w:pStyle w:val="Heading2"/>
      </w:pPr>
      <w:r>
        <w:t>How It Works</w:t>
      </w:r>
    </w:p>
    <w:p>
      <w:r>
        <w:rPr>
          <w:b/>
        </w:rPr>
        <w:t>Action Cards (Top of Inbox)</w:t>
      </w:r>
    </w:p>
    <w:p>
      <w:r>
        <w:t>Horizontally scrollable cards appear above the conversation list. Each card represents a specific, high-confidence AI recommendation based on real conversation analysis:</w:t>
      </w:r>
    </w:p>
    <w:p>
      <w:pPr>
        <w:pStyle w:val="ListNumber"/>
      </w:pPr>
      <w:r>
        <w:rPr>
          <w:b/>
        </w:rPr>
        <w:t xml:space="preserve">Payment Promise Follow-ups — </w:t>
      </w:r>
      <w:r>
        <w:t>Customer said "I'll pay by Friday" and Friday has passed. AI drafts a friendly, specific follow-up referencing the customer's own words about when they'd pay. Supports granular timing: "end of day," "this Friday," "next week."</w:t>
      </w:r>
    </w:p>
    <w:p>
      <w:pPr>
        <w:pStyle w:val="ListNumber"/>
      </w:pPr>
      <w:r>
        <w:rPr>
          <w:b/>
        </w:rPr>
        <w:t xml:space="preserve">Invoice Question Responses — </w:t>
      </w:r>
      <w:r>
        <w:t>Customer asked about a specific charge (e.g., "What's the float charge?"). AI drafts an explanation using the actual invoice line-item details and job context. Only surfaces when AI confidence is high enough to give an accurate answer.</w:t>
      </w:r>
    </w:p>
    <w:p>
      <w:pPr>
        <w:pStyle w:val="ListNumber"/>
      </w:pPr>
      <w:r>
        <w:rPr>
          <w:b/>
        </w:rPr>
        <w:t xml:space="preserve">Invoice Summaries — </w:t>
      </w:r>
      <w:r>
        <w:t>When a new invoice is sent, AI drafts a customer-friendly breakdown highlighting key line items, the total, and how to pay — warmer and more informative than the raw invoice notification.</w:t>
      </w:r>
    </w:p>
    <w:p>
      <w:pPr>
        <w:pStyle w:val="ListNumber"/>
      </w:pPr>
      <w:r>
        <w:rPr>
          <w:b/>
        </w:rPr>
        <w:t xml:space="preserve">Payment Plan Suggestions — </w:t>
      </w:r>
      <w:r>
        <w:t>Customer expressed financial difficulty ("I can't pay this all at once"). AI drafts a response acknowledging their concern and presenting available options like installment plans or financing through existing HCP integrations (e.g., Wisetack).</w:t>
      </w:r>
    </w:p>
    <w:p>
      <w:r>
        <w:rPr>
          <w:b/>
        </w:rPr>
        <w:t>In-Conversation AI Drafts</w:t>
      </w:r>
    </w:p>
    <w:p>
      <w:r>
        <w:t>When a pro opens a conversation that has an AI recommendation, the draft appears at the bottom of the chat thread — ready to review, edit, and send. The draft is presented in context alongside the actual conversation, so the pro can verify it makes sense.</w:t>
      </w:r>
    </w:p>
    <w:p>
      <w:r>
        <w:rPr>
          <w:b/>
        </w:rPr>
        <w:t>AI Reasoning Transparency</w:t>
      </w:r>
    </w:p>
    <w:p>
      <w:r>
        <w:t>Every action card and in-conversation draft has a "See reasoning" button that opens a panel showing: the specific messages the AI used as context (highlighted with timestamps), the AI's reasoning chain explaining why this action was recommended, and the confidence level of the recommendation. This builds trust through transparency — the pro can verify the AI "did its homework" before sending anything.</w:t>
      </w:r>
    </w:p>
    <w:p>
      <w:pPr>
        <w:pStyle w:val="Heading2"/>
      </w:pPr>
      <w:r>
        <w:t>What AI Does vs. What the Human Does</w:t>
      </w:r>
    </w:p>
    <w:tbl>
      <w:tblPr>
        <w:tblStyle w:val="TableGrid"/>
        <w:tblW w:type="auto" w:w="0"/>
        <w:tblLook w:firstColumn="1" w:firstRow="1" w:lastColumn="0" w:lastRow="0" w:noHBand="0" w:noVBand="1" w:val="04A0"/>
      </w:tblPr>
      <w:tblGrid>
        <w:gridCol w:w="4320"/>
        <w:gridCol w:w="4320"/>
      </w:tblGrid>
      <w:tr>
        <w:tc>
          <w:tcPr>
            <w:tcW w:type="dxa" w:w="4320"/>
            <w:shd w:fill="E8F0FE"/>
          </w:tcPr>
          <w:p>
            <w:r/>
            <w:r>
              <w:rPr>
                <w:rFonts w:ascii="Calibri" w:hAnsi="Calibri"/>
                <w:b/>
                <w:sz w:val="20"/>
              </w:rPr>
              <w:t>AI Does</w:t>
            </w:r>
          </w:p>
        </w:tc>
        <w:tc>
          <w:tcPr>
            <w:tcW w:type="dxa" w:w="4320"/>
            <w:shd w:fill="E8F0FE"/>
          </w:tcPr>
          <w:p>
            <w:r/>
            <w:r>
              <w:rPr>
                <w:rFonts w:ascii="Calibri" w:hAnsi="Calibri"/>
                <w:b/>
                <w:sz w:val="20"/>
              </w:rPr>
              <w:t>Human Does</w:t>
            </w:r>
          </w:p>
        </w:tc>
      </w:tr>
      <w:tr>
        <w:tc>
          <w:tcPr>
            <w:tcW w:type="dxa" w:w="4320"/>
          </w:tcPr>
          <w:p>
            <w:r>
              <w:rPr>
                <w:rFonts w:ascii="Calibri" w:hAnsi="Calibri"/>
                <w:sz w:val="20"/>
              </w:rPr>
              <w:t>Scans conversations for payment-related signals</w:t>
            </w:r>
          </w:p>
        </w:tc>
        <w:tc>
          <w:tcPr>
            <w:tcW w:type="dxa" w:w="4320"/>
          </w:tcPr>
          <w:p>
            <w:r>
              <w:rPr>
                <w:rFonts w:ascii="Calibri" w:hAnsi="Calibri"/>
                <w:sz w:val="20"/>
              </w:rPr>
              <w:t>Decides whether to send, edit, or dismiss</w:t>
            </w:r>
          </w:p>
        </w:tc>
      </w:tr>
      <w:tr>
        <w:tc>
          <w:tcPr>
            <w:tcW w:type="dxa" w:w="4320"/>
          </w:tcPr>
          <w:p>
            <w:r>
              <w:rPr>
                <w:rFonts w:ascii="Calibri" w:hAnsi="Calibri"/>
                <w:sz w:val="20"/>
              </w:rPr>
              <w:t>Identifies follow-up timing based on customer promises</w:t>
            </w:r>
          </w:p>
        </w:tc>
        <w:tc>
          <w:tcPr>
            <w:tcW w:type="dxa" w:w="4320"/>
          </w:tcPr>
          <w:p>
            <w:r>
              <w:rPr>
                <w:rFonts w:ascii="Calibri" w:hAnsi="Calibri"/>
                <w:sz w:val="20"/>
              </w:rPr>
              <w:t>Makes judgment calls on complex disputes</w:t>
            </w:r>
          </w:p>
        </w:tc>
      </w:tr>
      <w:tr>
        <w:tc>
          <w:tcPr>
            <w:tcW w:type="dxa" w:w="4320"/>
          </w:tcPr>
          <w:p>
            <w:r>
              <w:rPr>
                <w:rFonts w:ascii="Calibri" w:hAnsi="Calibri"/>
                <w:sz w:val="20"/>
              </w:rPr>
              <w:t>Drafts contextual, personalized responses</w:t>
            </w:r>
          </w:p>
        </w:tc>
        <w:tc>
          <w:tcPr>
            <w:tcW w:type="dxa" w:w="4320"/>
          </w:tcPr>
          <w:p>
            <w:r>
              <w:rPr>
                <w:rFonts w:ascii="Calibri" w:hAnsi="Calibri"/>
                <w:sz w:val="20"/>
              </w:rPr>
              <w:t>Approves every outbound message</w:t>
            </w:r>
          </w:p>
        </w:tc>
      </w:tr>
      <w:tr>
        <w:tc>
          <w:tcPr>
            <w:tcW w:type="dxa" w:w="4320"/>
          </w:tcPr>
          <w:p>
            <w:r>
              <w:rPr>
                <w:rFonts w:ascii="Calibri" w:hAnsi="Calibri"/>
                <w:sz w:val="20"/>
              </w:rPr>
              <w:t>Surfaces invoice details relevant to customer questions</w:t>
            </w:r>
          </w:p>
        </w:tc>
        <w:tc>
          <w:tcPr>
            <w:tcW w:type="dxa" w:w="4320"/>
          </w:tcPr>
          <w:p>
            <w:r>
              <w:rPr>
                <w:rFonts w:ascii="Calibri" w:hAnsi="Calibri"/>
                <w:sz w:val="20"/>
              </w:rPr>
              <w:t>Negotiates payment plans and custom terms</w:t>
            </w:r>
          </w:p>
        </w:tc>
      </w:tr>
      <w:tr>
        <w:tc>
          <w:tcPr>
            <w:tcW w:type="dxa" w:w="4320"/>
          </w:tcPr>
          <w:p>
            <w:r>
              <w:rPr>
                <w:rFonts w:ascii="Calibri" w:hAnsi="Calibri"/>
                <w:sz w:val="20"/>
              </w:rPr>
              <w:t>Ranks actions by priority and confidence</w:t>
            </w:r>
          </w:p>
        </w:tc>
        <w:tc>
          <w:tcPr>
            <w:tcW w:type="dxa" w:w="4320"/>
          </w:tcPr>
          <w:p>
            <w:r>
              <w:rPr>
                <w:rFonts w:ascii="Calibri" w:hAnsi="Calibri"/>
                <w:sz w:val="20"/>
              </w:rPr>
              <w:t>Owns the customer relationship</w:t>
            </w:r>
          </w:p>
        </w:tc>
      </w:tr>
    </w:tbl>
    <w:p/>
    <w:p>
      <w:r>
        <w:rPr>
          <w:b/>
        </w:rPr>
        <w:t xml:space="preserve">Key principle: </w:t>
      </w:r>
      <w:r>
        <w:rPr>
          <w:b w:val="0"/>
        </w:rPr>
        <w:t>AI is the drafting assistant. The Pro is the decision-maker. No message is ever sent without explicit Pro approval. This is non-negotiable in Phase 1 — a direct result of customer feedback that pros want to maintain personal relationships with their customers.</w:t>
      </w:r>
    </w:p>
    <w:p>
      <w:pPr>
        <w:pStyle w:val="Heading2"/>
      </w:pPr>
      <w:r>
        <w:t>Non-AI Alternative Considered</w:t>
      </w:r>
    </w:p>
    <w:p>
      <w:r>
        <w:rPr>
          <w:b/>
        </w:rPr>
        <w:t>Rule-Based Follow-up System</w:t>
      </w:r>
    </w:p>
    <w:p>
      <w:r>
        <w:t>I considered a deterministic, rule-based approach:</w:t>
      </w:r>
    </w:p>
    <w:p>
      <w:pPr>
        <w:pStyle w:val="ListBullet"/>
      </w:pPr>
      <w:r>
        <w:t>Regex patterns to detect payment promises ("pay" + date keywords)</w:t>
      </w:r>
    </w:p>
    <w:p>
      <w:pPr>
        <w:pStyle w:val="ListBullet"/>
      </w:pPr>
      <w:r>
        <w:t>Template responses for common invoice questions</w:t>
      </w:r>
    </w:p>
    <w:p>
      <w:pPr>
        <w:pStyle w:val="ListBullet"/>
      </w:pPr>
      <w:r>
        <w:t>Scheduled reminders based on invoice age</w:t>
      </w:r>
    </w:p>
    <w:p>
      <w:r>
        <w:rPr>
          <w:b/>
        </w:rPr>
        <w:t>Why AI is the better choice:</w:t>
      </w:r>
    </w:p>
    <w:p>
      <w:pPr>
        <w:pStyle w:val="ListBullet"/>
      </w:pPr>
      <w:r>
        <w:rPr>
          <w:b/>
        </w:rPr>
        <w:t xml:space="preserve">Unstructured language. </w:t>
      </w:r>
      <w:r>
        <w:t>Customer messages are natural language. "I'll get you that money Friday," "paying end of day," and "can I settle up next week?" all mean the same thing but require natural language understanding to parse reliably.</w:t>
      </w:r>
    </w:p>
    <w:p>
      <w:pPr>
        <w:pStyle w:val="ListBullet"/>
      </w:pPr>
      <w:r>
        <w:rPr>
          <w:b/>
        </w:rPr>
        <w:t xml:space="preserve">Context-dependent drafting. </w:t>
      </w:r>
      <w:r>
        <w:t>Writing a good response requires understanding the specific charge being questioned, the customer's tone, the invoice details, and similar past interactions — not just pattern matching.</w:t>
      </w:r>
    </w:p>
    <w:p>
      <w:pPr>
        <w:pStyle w:val="ListBullet"/>
      </w:pPr>
      <w:r>
        <w:rPr>
          <w:b/>
        </w:rPr>
        <w:t xml:space="preserve">Semantic matching. </w:t>
      </w:r>
      <w:r>
        <w:t>Connecting a customer's question "What's the float charge?" to the correct invoice line item ("Floor leveling/float — $450") is inherently a semantic task.</w:t>
      </w:r>
    </w:p>
    <w:p>
      <w:pPr>
        <w:pStyle w:val="ListBullet"/>
      </w:pPr>
      <w:r>
        <w:rPr>
          <w:b/>
        </w:rPr>
        <w:t xml:space="preserve">Scalability. </w:t>
      </w:r>
      <w:r>
        <w:t>A rule-based system would need hundreds of hand-crafted rules and still miss edge cases. AI generalizes from context across any home service vertical.</w:t>
      </w:r>
    </w:p>
    <w:p>
      <w:r>
        <w:t>That said, rule-based triggers can complement AI — for example, invoice age thresholds can signal when AI should look for follow-up opportunities, combining deterministic reliability with AI flexibility.</w:t>
      </w:r>
    </w:p>
    <w:p>
      <w:r>
        <w:br w:type="page"/>
      </w:r>
    </w:p>
    <w:p>
      <w:pPr>
        <w:pStyle w:val="Heading1"/>
      </w:pPr>
      <w:r>
        <w:t>3. Trust and Failure</w:t>
      </w:r>
    </w:p>
    <w:p>
      <w:pPr>
        <w:pStyle w:val="Heading2"/>
      </w:pPr>
      <w:r>
        <w:t>Designing for When the System Is Wrong</w:t>
      </w:r>
    </w:p>
    <w:p>
      <w:r>
        <w:t>The most important design decision in this product: when AI isn't confident, it stays silent. Surfacing a bad recommendation erodes trust faster than surfacing nothing. Below-threshold actions are never shown to the pro.</w:t>
      </w:r>
    </w:p>
    <w:p>
      <w:r>
        <w:t>This principle came directly from customer research. My family told me they'd stop using a feature the moment it embarrassed them with a customer — one wrong amount, one tone-deaf follow-up to a sensitive situation, and the feature is dead to them. The trust bar in home services is extremely high because these are real, ongoing relationships built on years of service, not one-time transactions.</w:t>
      </w:r>
    </w:p>
    <w:p>
      <w:pPr>
        <w:pStyle w:val="Heading2"/>
      </w:pPr>
      <w:r>
        <w:t>Guardrails for Every Interaction</w:t>
      </w:r>
    </w:p>
    <w:p>
      <w:r>
        <w:t>Every AI draft is fully reviewable before it reaches a customer:</w:t>
      </w:r>
    </w:p>
    <w:p>
      <w:pPr>
        <w:pStyle w:val="ListNumber"/>
      </w:pPr>
      <w:r>
        <w:rPr>
          <w:b/>
        </w:rPr>
        <w:t xml:space="preserve">Full visibility. </w:t>
      </w:r>
      <w:r>
        <w:t>The drafted message text is displayed in an editable text area. Nothing is hidden or sent automatically.</w:t>
      </w:r>
    </w:p>
    <w:p>
      <w:pPr>
        <w:pStyle w:val="ListNumber"/>
      </w:pPr>
      <w:r>
        <w:rPr>
          <w:b/>
        </w:rPr>
        <w:t xml:space="preserve">Reasoning transparency. </w:t>
      </w:r>
      <w:r>
        <w:t>A "See reasoning" button shows the AI's logic and the specific source messages it analyzed — the pro can verify the AI understood the situation correctly.</w:t>
      </w:r>
    </w:p>
    <w:p>
      <w:pPr>
        <w:pStyle w:val="ListNumber"/>
      </w:pPr>
      <w:r>
        <w:rPr>
          <w:b/>
        </w:rPr>
        <w:t xml:space="preserve">Edit always available. </w:t>
      </w:r>
      <w:r>
        <w:t>The pro can modify any part of the draft before sending. The AI's suggestion is a starting point, not a final answer.</w:t>
      </w:r>
    </w:p>
    <w:p>
      <w:pPr>
        <w:pStyle w:val="ListNumber"/>
      </w:pPr>
      <w:r>
        <w:rPr>
          <w:b/>
        </w:rPr>
        <w:t xml:space="preserve">Dismiss with signal. </w:t>
      </w:r>
      <w:r>
        <w:t>A dismiss button removes the recommendation. Critically, dismissals are tracked as a quality signal (see Measurement section).</w:t>
      </w:r>
    </w:p>
    <w:p>
      <w:pPr>
        <w:pStyle w:val="Heading2"/>
      </w:pPr>
      <w:r>
        <w:t>Factual Grounding</w:t>
      </w:r>
    </w:p>
    <w:p>
      <w:r>
        <w:t>AI drafts reference specific invoice line items, amounts, and dates from structured data — they are never generated from the model's training data alone. If the AI references "$450 for floor leveling," the reasoning panel shows exactly which invoice line item it came from. Factual accuracy on financial details is a hard requirement: 100%, no exceptions. A single wrong dollar amount in a customer message could damage a pro's credibility and create a billing dispute.</w:t>
      </w:r>
    </w:p>
    <w:p>
      <w:pPr>
        <w:pStyle w:val="Heading2"/>
      </w:pPr>
      <w:r>
        <w:t>How Trust Builds Over Time</w:t>
      </w:r>
    </w:p>
    <w:p>
      <w:r>
        <w:t>The product is designed with a phased trust model. Each phase unlocks more AI autonomy, but only after the previous phase has proven the AI's reliability through measurable results:</w:t>
      </w:r>
    </w:p>
    <w:tbl>
      <w:tblPr>
        <w:tblStyle w:val="TableGrid"/>
        <w:tblW w:type="auto" w:w="0"/>
        <w:tblLook w:firstColumn="1" w:firstRow="1" w:lastColumn="0" w:lastRow="0" w:noHBand="0" w:noVBand="1" w:val="04A0"/>
      </w:tblPr>
      <w:tblGrid>
        <w:gridCol w:w="2880"/>
        <w:gridCol w:w="2880"/>
        <w:gridCol w:w="2880"/>
      </w:tblGrid>
      <w:tr>
        <w:tc>
          <w:tcPr>
            <w:tcW w:type="dxa" w:w="2880"/>
            <w:shd w:fill="E8F0FE"/>
          </w:tcPr>
          <w:p>
            <w:r/>
            <w:r>
              <w:rPr>
                <w:rFonts w:ascii="Calibri" w:hAnsi="Calibri"/>
                <w:b/>
                <w:sz w:val="20"/>
              </w:rPr>
              <w:t>Phase</w:t>
            </w:r>
          </w:p>
        </w:tc>
        <w:tc>
          <w:tcPr>
            <w:tcW w:type="dxa" w:w="2880"/>
            <w:shd w:fill="E8F0FE"/>
          </w:tcPr>
          <w:p>
            <w:r/>
            <w:r>
              <w:rPr>
                <w:rFonts w:ascii="Calibri" w:hAnsi="Calibri"/>
                <w:b/>
                <w:sz w:val="20"/>
              </w:rPr>
              <w:t>AI Behavior</w:t>
            </w:r>
          </w:p>
        </w:tc>
        <w:tc>
          <w:tcPr>
            <w:tcW w:type="dxa" w:w="2880"/>
            <w:shd w:fill="E8F0FE"/>
          </w:tcPr>
          <w:p>
            <w:r/>
            <w:r>
              <w:rPr>
                <w:rFonts w:ascii="Calibri" w:hAnsi="Calibri"/>
                <w:b/>
                <w:sz w:val="20"/>
              </w:rPr>
              <w:t>Pro Experience</w:t>
            </w:r>
          </w:p>
        </w:tc>
      </w:tr>
      <w:tr>
        <w:tc>
          <w:tcPr>
            <w:tcW w:type="dxa" w:w="2880"/>
          </w:tcPr>
          <w:p>
            <w:r>
              <w:rPr>
                <w:rFonts w:ascii="Calibri" w:hAnsi="Calibri"/>
                <w:sz w:val="20"/>
              </w:rPr>
              <w:t>Phase 1 (MVP)</w:t>
            </w:r>
          </w:p>
        </w:tc>
        <w:tc>
          <w:tcPr>
            <w:tcW w:type="dxa" w:w="2880"/>
          </w:tcPr>
          <w:p>
            <w:r>
              <w:rPr>
                <w:rFonts w:ascii="Calibri" w:hAnsi="Calibri"/>
                <w:sz w:val="20"/>
              </w:rPr>
              <w:t>All drafts require manual review and explicit send</w:t>
            </w:r>
          </w:p>
        </w:tc>
        <w:tc>
          <w:tcPr>
            <w:tcW w:type="dxa" w:w="2880"/>
          </w:tcPr>
          <w:p>
            <w:r>
              <w:rPr>
                <w:rFonts w:ascii="Calibri" w:hAnsi="Calibri"/>
                <w:sz w:val="20"/>
              </w:rPr>
              <w:t>Pro learns what AI can do, builds confidence through daily use</w:t>
            </w:r>
          </w:p>
        </w:tc>
      </w:tr>
      <w:tr>
        <w:tc>
          <w:tcPr>
            <w:tcW w:type="dxa" w:w="2880"/>
          </w:tcPr>
          <w:p>
            <w:r>
              <w:rPr>
                <w:rFonts w:ascii="Calibri" w:hAnsi="Calibri"/>
                <w:sz w:val="20"/>
              </w:rPr>
              <w:t>Phase 2 (Earned)</w:t>
            </w:r>
          </w:p>
        </w:tc>
        <w:tc>
          <w:tcPr>
            <w:tcW w:type="dxa" w:w="2880"/>
          </w:tcPr>
          <w:p>
            <w:r>
              <w:rPr>
                <w:rFonts w:ascii="Calibri" w:hAnsi="Calibri"/>
                <w:sz w:val="20"/>
              </w:rPr>
              <w:t>Pro can enable auto-send for specific, proven action types (e.g., invoice summaries)</w:t>
            </w:r>
          </w:p>
        </w:tc>
        <w:tc>
          <w:tcPr>
            <w:tcW w:type="dxa" w:w="2880"/>
          </w:tcPr>
          <w:p>
            <w:r>
              <w:rPr>
                <w:rFonts w:ascii="Calibri" w:hAnsi="Calibri"/>
                <w:sz w:val="20"/>
              </w:rPr>
              <w:t>Earned autonomy — AI proved itself on simpler tasks first</w:t>
            </w:r>
          </w:p>
        </w:tc>
      </w:tr>
      <w:tr>
        <w:tc>
          <w:tcPr>
            <w:tcW w:type="dxa" w:w="2880"/>
          </w:tcPr>
          <w:p>
            <w:r>
              <w:rPr>
                <w:rFonts w:ascii="Calibri" w:hAnsi="Calibri"/>
                <w:sz w:val="20"/>
              </w:rPr>
              <w:t>Phase 3 (Autonomous)</w:t>
            </w:r>
          </w:p>
        </w:tc>
        <w:tc>
          <w:tcPr>
            <w:tcW w:type="dxa" w:w="2880"/>
          </w:tcPr>
          <w:p>
            <w:r>
              <w:rPr>
                <w:rFonts w:ascii="Calibri" w:hAnsi="Calibri"/>
                <w:sz w:val="20"/>
              </w:rPr>
              <w:t>Fully autonomous follow-ups for routine cases, with pro notification after the fact</w:t>
            </w:r>
          </w:p>
        </w:tc>
        <w:tc>
          <w:tcPr>
            <w:tcW w:type="dxa" w:w="2880"/>
          </w:tcPr>
          <w:p>
            <w:r>
              <w:rPr>
                <w:rFonts w:ascii="Calibri" w:hAnsi="Calibri"/>
                <w:sz w:val="20"/>
              </w:rPr>
              <w:t>AI operates independently where trust is established</w:t>
            </w:r>
          </w:p>
        </w:tc>
      </w:tr>
    </w:tbl>
    <w:p/>
    <w:p>
      <w:r>
        <w:t>This MVP is Phase 1 only. Progression to Phase 2 is earned, not scheduled — it requires meeting quality bars, receiving positive qualitative feedback from pros, and demonstrating sustained accuracy over time. We do not graduate based on a calendar date; we graduate based on metrics.</w:t>
      </w:r>
    </w:p>
    <w:p>
      <w:pPr>
        <w:pStyle w:val="Heading2"/>
      </w:pPr>
      <w:r>
        <w:t>Dismiss Tracking as a Trust Signal</w:t>
      </w:r>
    </w:p>
    <w:p>
      <w:r>
        <w:t>Dismissal behavior is one of the strongest signals of whether AI recommendations are providing value. The design includes two levels of dismissal that give us granular insight:</w:t>
      </w:r>
    </w:p>
    <w:p>
      <w:pPr>
        <w:pStyle w:val="ListBullet"/>
      </w:pPr>
      <w:r>
        <w:rPr>
          <w:b/>
        </w:rPr>
        <w:t xml:space="preserve">Individual recommendation dismiss — </w:t>
      </w:r>
      <w:r>
        <w:t>"This specific suggestion isn't helpful." Tells us the AI misjudged this particular situation. Acceptable at low rates.</w:t>
      </w:r>
    </w:p>
    <w:p>
      <w:pPr>
        <w:pStyle w:val="ListBullet"/>
      </w:pPr>
      <w:r>
        <w:rPr>
          <w:b/>
        </w:rPr>
        <w:t xml:space="preserve">Section dismiss (all action cards) — </w:t>
      </w:r>
      <w:r>
        <w:t>"I don't want AI suggestions at all." This is a critical signal: it means the overall feature isn't providing value to this pro, and we need to investigate why.</w:t>
      </w:r>
    </w:p>
    <w:p>
      <w:r>
        <w:t>If per-recommendation dismiss rate exceeds 20%, we tighten the confidence threshold. If section-level dismissals exceed 5%, we pause rollout and conduct qualitative user research to understand the root cause before proceeding.</w:t>
      </w:r>
    </w:p>
    <w:p>
      <w:r>
        <w:br w:type="page"/>
      </w:r>
    </w:p>
    <w:p>
      <w:pPr>
        <w:pStyle w:val="Heading1"/>
      </w:pPr>
      <w:r>
        <w:t>4. Measurement</w:t>
      </w:r>
    </w:p>
    <w:p>
      <w:pPr>
        <w:pStyle w:val="Heading2"/>
      </w:pPr>
      <w:r>
        <w:t>Outcome Metrics</w:t>
      </w:r>
    </w:p>
    <w:p>
      <w:r>
        <w:t>These measure whether the product moves the business needle:</w:t>
      </w:r>
    </w:p>
    <w:tbl>
      <w:tblPr>
        <w:tblStyle w:val="TableGrid"/>
        <w:tblW w:type="auto" w:w="0"/>
        <w:tblLook w:firstColumn="1" w:firstRow="1" w:lastColumn="0" w:lastRow="0" w:noHBand="0" w:noVBand="1" w:val="04A0"/>
      </w:tblPr>
      <w:tblGrid>
        <w:gridCol w:w="2880"/>
        <w:gridCol w:w="2880"/>
        <w:gridCol w:w="2880"/>
      </w:tblGrid>
      <w:tr>
        <w:tc>
          <w:tcPr>
            <w:tcW w:type="dxa" w:w="2880"/>
            <w:shd w:fill="E8F0FE"/>
          </w:tcPr>
          <w:p>
            <w:r/>
            <w:r>
              <w:rPr>
                <w:rFonts w:ascii="Calibri" w:hAnsi="Calibri"/>
                <w:b/>
                <w:sz w:val="20"/>
              </w:rPr>
              <w:t>Metric</w:t>
            </w:r>
          </w:p>
        </w:tc>
        <w:tc>
          <w:tcPr>
            <w:tcW w:type="dxa" w:w="2880"/>
            <w:shd w:fill="E8F0FE"/>
          </w:tcPr>
          <w:p>
            <w:r/>
            <w:r>
              <w:rPr>
                <w:rFonts w:ascii="Calibri" w:hAnsi="Calibri"/>
                <w:b/>
                <w:sz w:val="20"/>
              </w:rPr>
              <w:t>Definition</w:t>
            </w:r>
          </w:p>
        </w:tc>
        <w:tc>
          <w:tcPr>
            <w:tcW w:type="dxa" w:w="2880"/>
            <w:shd w:fill="E8F0FE"/>
          </w:tcPr>
          <w:p>
            <w:r/>
            <w:r>
              <w:rPr>
                <w:rFonts w:ascii="Calibri" w:hAnsi="Calibri"/>
                <w:b/>
                <w:sz w:val="20"/>
              </w:rPr>
              <w:t>Target</w:t>
            </w:r>
          </w:p>
        </w:tc>
      </w:tr>
      <w:tr>
        <w:tc>
          <w:tcPr>
            <w:tcW w:type="dxa" w:w="2880"/>
          </w:tcPr>
          <w:p>
            <w:r>
              <w:rPr>
                <w:rFonts w:ascii="Calibri" w:hAnsi="Calibri"/>
                <w:sz w:val="20"/>
              </w:rPr>
              <w:t>Days-to-payment</w:t>
            </w:r>
          </w:p>
        </w:tc>
        <w:tc>
          <w:tcPr>
            <w:tcW w:type="dxa" w:w="2880"/>
          </w:tcPr>
          <w:p>
            <w:r>
              <w:rPr>
                <w:rFonts w:ascii="Calibri" w:hAnsi="Calibri"/>
                <w:sz w:val="20"/>
              </w:rPr>
              <w:t>Average days from invoice sent to payment received</w:t>
            </w:r>
          </w:p>
        </w:tc>
        <w:tc>
          <w:tcPr>
            <w:tcW w:type="dxa" w:w="2880"/>
          </w:tcPr>
          <w:p>
            <w:r>
              <w:rPr>
                <w:rFonts w:ascii="Calibri" w:hAnsi="Calibri"/>
                <w:sz w:val="20"/>
              </w:rPr>
              <w:t>Decrease by 20%+</w:t>
            </w:r>
          </w:p>
        </w:tc>
      </w:tr>
      <w:tr>
        <w:tc>
          <w:tcPr>
            <w:tcW w:type="dxa" w:w="2880"/>
          </w:tcPr>
          <w:p>
            <w:r>
              <w:rPr>
                <w:rFonts w:ascii="Calibri" w:hAnsi="Calibri"/>
                <w:sz w:val="20"/>
              </w:rPr>
              <w:t>Response rate</w:t>
            </w:r>
          </w:p>
        </w:tc>
        <w:tc>
          <w:tcPr>
            <w:tcW w:type="dxa" w:w="2880"/>
          </w:tcPr>
          <w:p>
            <w:r>
              <w:rPr>
                <w:rFonts w:ascii="Calibri" w:hAnsi="Calibri"/>
                <w:sz w:val="20"/>
              </w:rPr>
              <w:t>% of customer payment messages getting a pro response within 24 hours</w:t>
            </w:r>
          </w:p>
        </w:tc>
        <w:tc>
          <w:tcPr>
            <w:tcW w:type="dxa" w:w="2880"/>
          </w:tcPr>
          <w:p>
            <w:r>
              <w:rPr>
                <w:rFonts w:ascii="Calibri" w:hAnsi="Calibri"/>
                <w:sz w:val="20"/>
              </w:rPr>
              <w:t>Increase from ~40% to 80%+</w:t>
            </w:r>
          </w:p>
        </w:tc>
      </w:tr>
      <w:tr>
        <w:tc>
          <w:tcPr>
            <w:tcW w:type="dxa" w:w="2880"/>
          </w:tcPr>
          <w:p>
            <w:r>
              <w:rPr>
                <w:rFonts w:ascii="Calibri" w:hAnsi="Calibri"/>
                <w:sz w:val="20"/>
              </w:rPr>
              <w:t>30-day collection rate</w:t>
            </w:r>
          </w:p>
        </w:tc>
        <w:tc>
          <w:tcPr>
            <w:tcW w:type="dxa" w:w="2880"/>
          </w:tcPr>
          <w:p>
            <w:r>
              <w:rPr>
                <w:rFonts w:ascii="Calibri" w:hAnsi="Calibri"/>
                <w:sz w:val="20"/>
              </w:rPr>
              <w:t>% of invoices paid within 30 days of sending</w:t>
            </w:r>
          </w:p>
        </w:tc>
        <w:tc>
          <w:tcPr>
            <w:tcW w:type="dxa" w:w="2880"/>
          </w:tcPr>
          <w:p>
            <w:r>
              <w:rPr>
                <w:rFonts w:ascii="Calibri" w:hAnsi="Calibri"/>
                <w:sz w:val="20"/>
              </w:rPr>
              <w:t>Increase by 15%+</w:t>
            </w:r>
          </w:p>
        </w:tc>
      </w:tr>
      <w:tr>
        <w:tc>
          <w:tcPr>
            <w:tcW w:type="dxa" w:w="2880"/>
          </w:tcPr>
          <w:p>
            <w:r>
              <w:rPr>
                <w:rFonts w:ascii="Calibri" w:hAnsi="Calibri"/>
                <w:sz w:val="20"/>
              </w:rPr>
              <w:t>Revenue recovered</w:t>
            </w:r>
          </w:p>
        </w:tc>
        <w:tc>
          <w:tcPr>
            <w:tcW w:type="dxa" w:w="2880"/>
          </w:tcPr>
          <w:p>
            <w:r>
              <w:rPr>
                <w:rFonts w:ascii="Calibri" w:hAnsi="Calibri"/>
                <w:sz w:val="20"/>
              </w:rPr>
              <w:t>Dollar amount of invoices paid after AI-assisted follow-up</w:t>
            </w:r>
          </w:p>
        </w:tc>
        <w:tc>
          <w:tcPr>
            <w:tcW w:type="dxa" w:w="2880"/>
          </w:tcPr>
          <w:p>
            <w:r>
              <w:rPr>
                <w:rFonts w:ascii="Calibri" w:hAnsi="Calibri"/>
                <w:sz w:val="20"/>
              </w:rPr>
              <w:t>Track absolute $</w:t>
            </w:r>
          </w:p>
        </w:tc>
      </w:tr>
      <w:tr>
        <w:tc>
          <w:tcPr>
            <w:tcW w:type="dxa" w:w="2880"/>
          </w:tcPr>
          <w:p>
            <w:r>
              <w:rPr>
                <w:rFonts w:ascii="Calibri" w:hAnsi="Calibri"/>
                <w:sz w:val="20"/>
              </w:rPr>
              <w:t>Pro time saved</w:t>
            </w:r>
          </w:p>
        </w:tc>
        <w:tc>
          <w:tcPr>
            <w:tcW w:type="dxa" w:w="2880"/>
          </w:tcPr>
          <w:p>
            <w:r>
              <w:rPr>
                <w:rFonts w:ascii="Calibri" w:hAnsi="Calibri"/>
                <w:sz w:val="20"/>
              </w:rPr>
              <w:t>Minutes per week pro spends on payment-related messaging</w:t>
            </w:r>
          </w:p>
        </w:tc>
        <w:tc>
          <w:tcPr>
            <w:tcW w:type="dxa" w:w="2880"/>
          </w:tcPr>
          <w:p>
            <w:r>
              <w:rPr>
                <w:rFonts w:ascii="Calibri" w:hAnsi="Calibri"/>
                <w:sz w:val="20"/>
              </w:rPr>
              <w:t>Decrease by 50%+</w:t>
            </w:r>
          </w:p>
        </w:tc>
      </w:tr>
    </w:tbl>
    <w:p/>
    <w:p>
      <w:pPr>
        <w:pStyle w:val="Heading2"/>
      </w:pPr>
      <w:r>
        <w:t>AI Quality Metrics</w:t>
      </w:r>
    </w:p>
    <w:p>
      <w:r>
        <w:t>These measure whether the AI itself is doing a good job:</w:t>
      </w:r>
    </w:p>
    <w:tbl>
      <w:tblPr>
        <w:tblStyle w:val="TableGrid"/>
        <w:tblW w:type="auto" w:w="0"/>
        <w:tblLook w:firstColumn="1" w:firstRow="1" w:lastColumn="0" w:lastRow="0" w:noHBand="0" w:noVBand="1" w:val="04A0"/>
      </w:tblPr>
      <w:tblGrid>
        <w:gridCol w:w="2880"/>
        <w:gridCol w:w="2880"/>
        <w:gridCol w:w="2880"/>
      </w:tblGrid>
      <w:tr>
        <w:tc>
          <w:tcPr>
            <w:tcW w:type="dxa" w:w="2880"/>
            <w:shd w:fill="E8F0FE"/>
          </w:tcPr>
          <w:p>
            <w:r/>
            <w:r>
              <w:rPr>
                <w:rFonts w:ascii="Calibri" w:hAnsi="Calibri"/>
                <w:b/>
                <w:sz w:val="20"/>
              </w:rPr>
              <w:t>Metric</w:t>
            </w:r>
          </w:p>
        </w:tc>
        <w:tc>
          <w:tcPr>
            <w:tcW w:type="dxa" w:w="2880"/>
            <w:shd w:fill="E8F0FE"/>
          </w:tcPr>
          <w:p>
            <w:r/>
            <w:r>
              <w:rPr>
                <w:rFonts w:ascii="Calibri" w:hAnsi="Calibri"/>
                <w:b/>
                <w:sz w:val="20"/>
              </w:rPr>
              <w:t>Definition</w:t>
            </w:r>
          </w:p>
        </w:tc>
        <w:tc>
          <w:tcPr>
            <w:tcW w:type="dxa" w:w="2880"/>
            <w:shd w:fill="E8F0FE"/>
          </w:tcPr>
          <w:p>
            <w:r/>
            <w:r>
              <w:rPr>
                <w:rFonts w:ascii="Calibri" w:hAnsi="Calibri"/>
                <w:b/>
                <w:sz w:val="20"/>
              </w:rPr>
              <w:t>Quality Bar</w:t>
            </w:r>
          </w:p>
        </w:tc>
      </w:tr>
      <w:tr>
        <w:tc>
          <w:tcPr>
            <w:tcW w:type="dxa" w:w="2880"/>
          </w:tcPr>
          <w:p>
            <w:r>
              <w:rPr>
                <w:rFonts w:ascii="Calibri" w:hAnsi="Calibri"/>
                <w:sz w:val="20"/>
              </w:rPr>
              <w:t>Draft send rate</w:t>
            </w:r>
          </w:p>
        </w:tc>
        <w:tc>
          <w:tcPr>
            <w:tcW w:type="dxa" w:w="2880"/>
          </w:tcPr>
          <w:p>
            <w:r>
              <w:rPr>
                <w:rFonts w:ascii="Calibri" w:hAnsi="Calibri"/>
                <w:sz w:val="20"/>
              </w:rPr>
              <w:t>% of AI drafts sent (as-is or edited) vs. dismissed</w:t>
            </w:r>
          </w:p>
        </w:tc>
        <w:tc>
          <w:tcPr>
            <w:tcW w:type="dxa" w:w="2880"/>
          </w:tcPr>
          <w:p>
            <w:r>
              <w:rPr>
                <w:rFonts w:ascii="Calibri" w:hAnsi="Calibri"/>
                <w:sz w:val="20"/>
              </w:rPr>
              <w:t>&gt; 70%</w:t>
            </w:r>
          </w:p>
        </w:tc>
      </w:tr>
      <w:tr>
        <w:tc>
          <w:tcPr>
            <w:tcW w:type="dxa" w:w="2880"/>
          </w:tcPr>
          <w:p>
            <w:r>
              <w:rPr>
                <w:rFonts w:ascii="Calibri" w:hAnsi="Calibri"/>
                <w:sz w:val="20"/>
              </w:rPr>
              <w:t>Draft acceptance rate</w:t>
            </w:r>
          </w:p>
        </w:tc>
        <w:tc>
          <w:tcPr>
            <w:tcW w:type="dxa" w:w="2880"/>
          </w:tcPr>
          <w:p>
            <w:r>
              <w:rPr>
                <w:rFonts w:ascii="Calibri" w:hAnsi="Calibri"/>
                <w:sz w:val="20"/>
              </w:rPr>
              <w:t>% of AI drafts sent without any editing</w:t>
            </w:r>
          </w:p>
        </w:tc>
        <w:tc>
          <w:tcPr>
            <w:tcW w:type="dxa" w:w="2880"/>
          </w:tcPr>
          <w:p>
            <w:r>
              <w:rPr>
                <w:rFonts w:ascii="Calibri" w:hAnsi="Calibri"/>
                <w:sz w:val="20"/>
              </w:rPr>
              <w:t>&gt; 50%</w:t>
            </w:r>
          </w:p>
        </w:tc>
      </w:tr>
      <w:tr>
        <w:tc>
          <w:tcPr>
            <w:tcW w:type="dxa" w:w="2880"/>
          </w:tcPr>
          <w:p>
            <w:r>
              <w:rPr>
                <w:rFonts w:ascii="Calibri" w:hAnsi="Calibri"/>
                <w:sz w:val="20"/>
              </w:rPr>
              <w:t>Edit rate</w:t>
            </w:r>
          </w:p>
        </w:tc>
        <w:tc>
          <w:tcPr>
            <w:tcW w:type="dxa" w:w="2880"/>
          </w:tcPr>
          <w:p>
            <w:r>
              <w:rPr>
                <w:rFonts w:ascii="Calibri" w:hAnsi="Calibri"/>
                <w:sz w:val="20"/>
              </w:rPr>
              <w:t>% of drafts edited before sending</w:t>
            </w:r>
          </w:p>
        </w:tc>
        <w:tc>
          <w:tcPr>
            <w:tcW w:type="dxa" w:w="2880"/>
          </w:tcPr>
          <w:p>
            <w:r>
              <w:rPr>
                <w:rFonts w:ascii="Calibri" w:hAnsi="Calibri"/>
                <w:sz w:val="20"/>
              </w:rPr>
              <w:t>20–40% (healthy range)</w:t>
            </w:r>
          </w:p>
        </w:tc>
      </w:tr>
      <w:tr>
        <w:tc>
          <w:tcPr>
            <w:tcW w:type="dxa" w:w="2880"/>
          </w:tcPr>
          <w:p>
            <w:r>
              <w:rPr>
                <w:rFonts w:ascii="Calibri" w:hAnsi="Calibri"/>
                <w:sz w:val="20"/>
              </w:rPr>
              <w:t>Dismissal rate</w:t>
            </w:r>
          </w:p>
        </w:tc>
        <w:tc>
          <w:tcPr>
            <w:tcW w:type="dxa" w:w="2880"/>
          </w:tcPr>
          <w:p>
            <w:r>
              <w:rPr>
                <w:rFonts w:ascii="Calibri" w:hAnsi="Calibri"/>
                <w:sz w:val="20"/>
              </w:rPr>
              <w:t>% of action cards dismissed without sending</w:t>
            </w:r>
          </w:p>
        </w:tc>
        <w:tc>
          <w:tcPr>
            <w:tcW w:type="dxa" w:w="2880"/>
          </w:tcPr>
          <w:p>
            <w:r>
              <w:rPr>
                <w:rFonts w:ascii="Calibri" w:hAnsi="Calibri"/>
                <w:sz w:val="20"/>
              </w:rPr>
              <w:t>&lt; 20%</w:t>
            </w:r>
          </w:p>
        </w:tc>
      </w:tr>
      <w:tr>
        <w:tc>
          <w:tcPr>
            <w:tcW w:type="dxa" w:w="2880"/>
          </w:tcPr>
          <w:p>
            <w:r>
              <w:rPr>
                <w:rFonts w:ascii="Calibri" w:hAnsi="Calibri"/>
                <w:sz w:val="20"/>
              </w:rPr>
              <w:t>Reasoning view rate</w:t>
            </w:r>
          </w:p>
        </w:tc>
        <w:tc>
          <w:tcPr>
            <w:tcW w:type="dxa" w:w="2880"/>
          </w:tcPr>
          <w:p>
            <w:r>
              <w:rPr>
                <w:rFonts w:ascii="Calibri" w:hAnsi="Calibri"/>
                <w:sz w:val="20"/>
              </w:rPr>
              <w:t>% of actions where pro clicks "See reasoning"</w:t>
            </w:r>
          </w:p>
        </w:tc>
        <w:tc>
          <w:tcPr>
            <w:tcW w:type="dxa" w:w="2880"/>
          </w:tcPr>
          <w:p>
            <w:r>
              <w:rPr>
                <w:rFonts w:ascii="Calibri" w:hAnsi="Calibri"/>
                <w:sz w:val="20"/>
              </w:rPr>
              <w:t>Track (expect higher early, declining as trust builds)</w:t>
            </w:r>
          </w:p>
        </w:tc>
      </w:tr>
      <w:tr>
        <w:tc>
          <w:tcPr>
            <w:tcW w:type="dxa" w:w="2880"/>
          </w:tcPr>
          <w:p>
            <w:r>
              <w:rPr>
                <w:rFonts w:ascii="Calibri" w:hAnsi="Calibri"/>
                <w:sz w:val="20"/>
              </w:rPr>
              <w:t>Factual accuracy</w:t>
            </w:r>
          </w:p>
        </w:tc>
        <w:tc>
          <w:tcPr>
            <w:tcW w:type="dxa" w:w="2880"/>
          </w:tcPr>
          <w:p>
            <w:r>
              <w:rPr>
                <w:rFonts w:ascii="Calibri" w:hAnsi="Calibri"/>
                <w:sz w:val="20"/>
              </w:rPr>
              <w:t>% of drafts with correct invoice amounts, dates, and line items</w:t>
            </w:r>
          </w:p>
        </w:tc>
        <w:tc>
          <w:tcPr>
            <w:tcW w:type="dxa" w:w="2880"/>
          </w:tcPr>
          <w:p>
            <w:r>
              <w:rPr>
                <w:rFonts w:ascii="Calibri" w:hAnsi="Calibri"/>
                <w:sz w:val="20"/>
              </w:rPr>
              <w:t>100% (hard requirement)</w:t>
            </w:r>
          </w:p>
        </w:tc>
      </w:tr>
    </w:tbl>
    <w:p/>
    <w:p>
      <w:pPr>
        <w:pStyle w:val="Heading2"/>
      </w:pPr>
      <w:r>
        <w:t>Guardrail Metrics</w:t>
      </w:r>
    </w:p>
    <w:p>
      <w:r>
        <w:t>These are protective thresholds. If any guardrail is breached, we take immediate action rather than waiting for the next review cycle:</w:t>
      </w:r>
    </w:p>
    <w:tbl>
      <w:tblPr>
        <w:tblStyle w:val="TableGrid"/>
        <w:tblW w:type="auto" w:w="0"/>
        <w:tblLook w:firstColumn="1" w:firstRow="1" w:lastColumn="0" w:lastRow="0" w:noHBand="0" w:noVBand="1" w:val="04A0"/>
      </w:tblPr>
      <w:tblGrid>
        <w:gridCol w:w="2880"/>
        <w:gridCol w:w="2880"/>
        <w:gridCol w:w="2880"/>
      </w:tblGrid>
      <w:tr>
        <w:tc>
          <w:tcPr>
            <w:tcW w:type="dxa" w:w="2880"/>
            <w:shd w:fill="E8F0FE"/>
          </w:tcPr>
          <w:p>
            <w:r/>
            <w:r>
              <w:rPr>
                <w:rFonts w:ascii="Calibri" w:hAnsi="Calibri"/>
                <w:b/>
                <w:sz w:val="20"/>
              </w:rPr>
              <w:t>Metric</w:t>
            </w:r>
          </w:p>
        </w:tc>
        <w:tc>
          <w:tcPr>
            <w:tcW w:type="dxa" w:w="2880"/>
            <w:shd w:fill="E8F0FE"/>
          </w:tcPr>
          <w:p>
            <w:r/>
            <w:r>
              <w:rPr>
                <w:rFonts w:ascii="Calibri" w:hAnsi="Calibri"/>
                <w:b/>
                <w:sz w:val="20"/>
              </w:rPr>
              <w:t>Threshold</w:t>
            </w:r>
          </w:p>
        </w:tc>
        <w:tc>
          <w:tcPr>
            <w:tcW w:type="dxa" w:w="2880"/>
            <w:shd w:fill="E8F0FE"/>
          </w:tcPr>
          <w:p>
            <w:r/>
            <w:r>
              <w:rPr>
                <w:rFonts w:ascii="Calibri" w:hAnsi="Calibri"/>
                <w:b/>
                <w:sz w:val="20"/>
              </w:rPr>
              <w:t>Action if Breached</w:t>
            </w:r>
          </w:p>
        </w:tc>
      </w:tr>
      <w:tr>
        <w:tc>
          <w:tcPr>
            <w:tcW w:type="dxa" w:w="2880"/>
          </w:tcPr>
          <w:p>
            <w:r>
              <w:rPr>
                <w:rFonts w:ascii="Calibri" w:hAnsi="Calibri"/>
                <w:sz w:val="20"/>
              </w:rPr>
              <w:t>Per-recommendation dismiss rate</w:t>
            </w:r>
          </w:p>
        </w:tc>
        <w:tc>
          <w:tcPr>
            <w:tcW w:type="dxa" w:w="2880"/>
          </w:tcPr>
          <w:p>
            <w:r>
              <w:rPr>
                <w:rFonts w:ascii="Calibri" w:hAnsi="Calibri"/>
                <w:sz w:val="20"/>
              </w:rPr>
              <w:t>&gt; 20%</w:t>
            </w:r>
          </w:p>
        </w:tc>
        <w:tc>
          <w:tcPr>
            <w:tcW w:type="dxa" w:w="2880"/>
          </w:tcPr>
          <w:p>
            <w:r>
              <w:rPr>
                <w:rFonts w:ascii="Calibri" w:hAnsi="Calibri"/>
                <w:sz w:val="20"/>
              </w:rPr>
              <w:t>Investigate recommendation quality; tighten confidence threshold</w:t>
            </w:r>
          </w:p>
        </w:tc>
      </w:tr>
      <w:tr>
        <w:tc>
          <w:tcPr>
            <w:tcW w:type="dxa" w:w="2880"/>
          </w:tcPr>
          <w:p>
            <w:r>
              <w:rPr>
                <w:rFonts w:ascii="Calibri" w:hAnsi="Calibri"/>
                <w:sz w:val="20"/>
              </w:rPr>
              <w:t>Section dismiss rate</w:t>
            </w:r>
          </w:p>
        </w:tc>
        <w:tc>
          <w:tcPr>
            <w:tcW w:type="dxa" w:w="2880"/>
          </w:tcPr>
          <w:p>
            <w:r>
              <w:rPr>
                <w:rFonts w:ascii="Calibri" w:hAnsi="Calibri"/>
                <w:sz w:val="20"/>
              </w:rPr>
              <w:t>&gt; 5%</w:t>
            </w:r>
          </w:p>
        </w:tc>
        <w:tc>
          <w:tcPr>
            <w:tcW w:type="dxa" w:w="2880"/>
          </w:tcPr>
          <w:p>
            <w:r>
              <w:rPr>
                <w:rFonts w:ascii="Calibri" w:hAnsi="Calibri"/>
                <w:sz w:val="20"/>
              </w:rPr>
              <w:t>Pause rollout; conduct qualitative user research</w:t>
            </w:r>
          </w:p>
        </w:tc>
      </w:tr>
      <w:tr>
        <w:tc>
          <w:tcPr>
            <w:tcW w:type="dxa" w:w="2880"/>
          </w:tcPr>
          <w:p>
            <w:r>
              <w:rPr>
                <w:rFonts w:ascii="Calibri" w:hAnsi="Calibri"/>
                <w:sz w:val="20"/>
              </w:rPr>
              <w:t>Customer satisfaction (CSAT)</w:t>
            </w:r>
          </w:p>
        </w:tc>
        <w:tc>
          <w:tcPr>
            <w:tcW w:type="dxa" w:w="2880"/>
          </w:tcPr>
          <w:p>
            <w:r>
              <w:rPr>
                <w:rFonts w:ascii="Calibri" w:hAnsi="Calibri"/>
                <w:sz w:val="20"/>
              </w:rPr>
              <w:t>Drop &gt; 5% vs. control</w:t>
            </w:r>
          </w:p>
        </w:tc>
        <w:tc>
          <w:tcPr>
            <w:tcW w:type="dxa" w:w="2880"/>
          </w:tcPr>
          <w:p>
            <w:r>
              <w:rPr>
                <w:rFonts w:ascii="Calibri" w:hAnsi="Calibri"/>
                <w:sz w:val="20"/>
              </w:rPr>
              <w:t>Pause feature; investigate conversation quality</w:t>
            </w:r>
          </w:p>
        </w:tc>
      </w:tr>
      <w:tr>
        <w:tc>
          <w:tcPr>
            <w:tcW w:type="dxa" w:w="2880"/>
          </w:tcPr>
          <w:p>
            <w:r>
              <w:rPr>
                <w:rFonts w:ascii="Calibri" w:hAnsi="Calibri"/>
                <w:sz w:val="20"/>
              </w:rPr>
              <w:t>Factual error rate</w:t>
            </w:r>
          </w:p>
        </w:tc>
        <w:tc>
          <w:tcPr>
            <w:tcW w:type="dxa" w:w="2880"/>
          </w:tcPr>
          <w:p>
            <w:r>
              <w:rPr>
                <w:rFonts w:ascii="Calibri" w:hAnsi="Calibri"/>
                <w:sz w:val="20"/>
              </w:rPr>
              <w:t>Any occurrence</w:t>
            </w:r>
          </w:p>
        </w:tc>
        <w:tc>
          <w:tcPr>
            <w:tcW w:type="dxa" w:w="2880"/>
          </w:tcPr>
          <w:p>
            <w:r>
              <w:rPr>
                <w:rFonts w:ascii="Calibri" w:hAnsi="Calibri"/>
                <w:sz w:val="20"/>
              </w:rPr>
              <w:t>Immediate hotfix; root cause analysis; incident review</w:t>
            </w:r>
          </w:p>
        </w:tc>
      </w:tr>
      <w:tr>
        <w:tc>
          <w:tcPr>
            <w:tcW w:type="dxa" w:w="2880"/>
          </w:tcPr>
          <w:p>
            <w:r>
              <w:rPr>
                <w:rFonts w:ascii="Calibri" w:hAnsi="Calibri"/>
                <w:sz w:val="20"/>
              </w:rPr>
              <w:t>Pro NPS on AI feature</w:t>
            </w:r>
          </w:p>
        </w:tc>
        <w:tc>
          <w:tcPr>
            <w:tcW w:type="dxa" w:w="2880"/>
          </w:tcPr>
          <w:p>
            <w:r>
              <w:rPr>
                <w:rFonts w:ascii="Calibri" w:hAnsi="Calibri"/>
                <w:sz w:val="20"/>
              </w:rPr>
              <w:t>&lt; 30</w:t>
            </w:r>
          </w:p>
        </w:tc>
        <w:tc>
          <w:tcPr>
            <w:tcW w:type="dxa" w:w="2880"/>
          </w:tcPr>
          <w:p>
            <w:r>
              <w:rPr>
                <w:rFonts w:ascii="Calibri" w:hAnsi="Calibri"/>
                <w:sz w:val="20"/>
              </w:rPr>
              <w:t>Re-evaluate approach and value proposition before expanding</w:t>
            </w:r>
          </w:p>
        </w:tc>
      </w:tr>
    </w:tbl>
    <w:p/>
    <w:p>
      <w:pPr>
        <w:pStyle w:val="Heading2"/>
      </w:pPr>
      <w:r>
        <w:t>Quality Bar Before Shipping</w:t>
      </w:r>
    </w:p>
    <w:p>
      <w:r>
        <w:t>We do not proceed to wider rollout until all of the following are met in the A/B experiment:</w:t>
      </w:r>
    </w:p>
    <w:p>
      <w:pPr>
        <w:pStyle w:val="ListBullet"/>
      </w:pPr>
      <w:r>
        <w:t>Draft send rate &gt; 70% — most drafts are relevant enough to act on</w:t>
      </w:r>
    </w:p>
    <w:p>
      <w:pPr>
        <w:pStyle w:val="ListBullet"/>
      </w:pPr>
      <w:r>
        <w:t>Dismissal rate &lt; 20% — the AI isn't spamming irrelevant actions</w:t>
      </w:r>
    </w:p>
    <w:p>
      <w:pPr>
        <w:pStyle w:val="ListBullet"/>
      </w:pPr>
      <w:r>
        <w:t>Zero factual errors over a 30-day window — financial accuracy is non-negotiable</w:t>
      </w:r>
    </w:p>
    <w:p>
      <w:pPr>
        <w:pStyle w:val="ListBullet"/>
      </w:pPr>
      <w:r>
        <w:t>Pro NPS on AI feature &gt; 30 — pros find it genuinely helpful, not just tolerable</w:t>
      </w:r>
    </w:p>
    <w:p>
      <w:pPr>
        <w:pStyle w:val="ListBullet"/>
      </w:pPr>
      <w:r>
        <w:t>No customer complaints about AI-generated message quality or tone</w:t>
      </w:r>
    </w:p>
    <w:p>
      <w:pPr>
        <w:pStyle w:val="ListBullet"/>
      </w:pPr>
      <w:r>
        <w:t>Statistically significant improvement in days-to-payment in treatment vs. control group</w:t>
      </w:r>
    </w:p>
    <w:p>
      <w:r>
        <w:br w:type="page"/>
      </w:r>
    </w:p>
    <w:p>
      <w:pPr>
        <w:pStyle w:val="Heading1"/>
      </w:pPr>
      <w:r>
        <w:t>5. Requirements Specification</w:t>
      </w:r>
    </w:p>
    <w:p>
      <w:pPr>
        <w:pStyle w:val="Heading2"/>
      </w:pPr>
      <w:r>
        <w:t>Product Vision</w:t>
      </w:r>
    </w:p>
    <w:p>
      <w:r>
        <w:t>Enable HouseCall Pro's home service professionals to respond faster and more effectively to payment-related customer conversations using AI-powered draft suggestions — reducing days-to-payment and improving collection rates while keeping pros in full control of their customer relationships.</w:t>
      </w:r>
    </w:p>
    <w:p>
      <w:pPr>
        <w:pStyle w:val="Heading2"/>
      </w:pPr>
      <w:r>
        <w:t>Goals</w:t>
      </w:r>
    </w:p>
    <w:p>
      <w:pPr>
        <w:pStyle w:val="ListNumber"/>
      </w:pPr>
      <w:r>
        <w:t>Reduce average days-to-payment by 20% or more.</w:t>
      </w:r>
    </w:p>
    <w:p>
      <w:pPr>
        <w:pStyle w:val="ListNumber"/>
      </w:pPr>
      <w:r>
        <w:t>Increase pro response rate on payment-related messages from ~40% to 80%+.</w:t>
      </w:r>
    </w:p>
    <w:p>
      <w:pPr>
        <w:pStyle w:val="ListNumber"/>
      </w:pPr>
      <w:r>
        <w:t>Save pros 50%+ of time spent on payment-related messaging.</w:t>
      </w:r>
    </w:p>
    <w:p>
      <w:pPr>
        <w:pStyle w:val="ListNumber"/>
      </w:pPr>
      <w:r>
        <w:t>Achieve &gt;70% draft send rate, proving AI recommendations are valuable.</w:t>
      </w:r>
    </w:p>
    <w:p>
      <w:pPr>
        <w:pStyle w:val="ListNumber"/>
      </w:pPr>
      <w:r>
        <w:t>Maintain 100% factual accuracy in every AI-generated draft.</w:t>
      </w:r>
    </w:p>
    <w:p>
      <w:pPr>
        <w:pStyle w:val="Heading2"/>
      </w:pPr>
      <w:r>
        <w:t>Non-Goals</w:t>
      </w:r>
    </w:p>
    <w:p>
      <w:pPr>
        <w:pStyle w:val="ListBullet"/>
      </w:pPr>
      <w:r>
        <w:t>Replacing the pro in customer communication. Phase 1 is human-in-the-loop only; AI never sends messages autonomously.</w:t>
      </w:r>
    </w:p>
    <w:p>
      <w:pPr>
        <w:pStyle w:val="ListBullet"/>
      </w:pPr>
      <w:r>
        <w:t>Changing payment infrastructure. HCP's payment rails (cards, ACH, financing, BNPL, tap-to-pay) are not the problem.</w:t>
      </w:r>
    </w:p>
    <w:p>
      <w:pPr>
        <w:pStyle w:val="ListBullet"/>
      </w:pPr>
      <w:r>
        <w:t>Replacing HCP's existing automated email reminders. This feature complements reminders, not duplicates them.</w:t>
      </w:r>
    </w:p>
    <w:p>
      <w:pPr>
        <w:pStyle w:val="ListBullet"/>
      </w:pPr>
      <w:r>
        <w:t>Supporting non-payment conversations (scheduling, estimates, general inquiries). Out of scope for MVP.</w:t>
      </w:r>
    </w:p>
    <w:p>
      <w:pPr>
        <w:pStyle w:val="ListBullet"/>
      </w:pPr>
      <w:r>
        <w:t>Multi-user team collaboration or role-based access. Out of scope for MVP.</w:t>
      </w:r>
    </w:p>
    <w:p>
      <w:pPr>
        <w:pStyle w:val="ListBullet"/>
      </w:pPr>
      <w:r>
        <w:t>Push notifications or real-time alerting. Out of scope for MVP.</w:t>
      </w:r>
    </w:p>
    <w:p>
      <w:pPr>
        <w:pStyle w:val="Heading2"/>
      </w:pPr>
      <w:r>
        <w:t>Target Personas</w:t>
      </w:r>
    </w:p>
    <w:p>
      <w:pPr>
        <w:pStyle w:val="Heading3"/>
      </w:pPr>
      <w:r>
        <w:t>Persona 1: "Mike" — The Solo Plumber</w:t>
      </w:r>
    </w:p>
    <w:tbl>
      <w:tblPr>
        <w:tblStyle w:val="TableGrid"/>
        <w:tblW w:type="auto" w:w="0"/>
        <w:tblLook w:firstColumn="1" w:firstRow="1" w:lastColumn="0" w:lastRow="0" w:noHBand="0" w:noVBand="1" w:val="04A0"/>
      </w:tblPr>
      <w:tblGrid>
        <w:gridCol w:w="4320"/>
        <w:gridCol w:w="4320"/>
      </w:tblGrid>
      <w:tr>
        <w:tc>
          <w:tcPr>
            <w:tcW w:type="dxa" w:w="4320"/>
            <w:shd w:fill="E8F0FE"/>
          </w:tcPr>
          <w:p>
            <w:r/>
            <w:r>
              <w:rPr>
                <w:rFonts w:ascii="Calibri" w:hAnsi="Calibri"/>
                <w:b/>
                <w:sz w:val="20"/>
              </w:rPr>
              <w:t>Attribute</w:t>
            </w:r>
          </w:p>
        </w:tc>
        <w:tc>
          <w:tcPr>
            <w:tcW w:type="dxa" w:w="4320"/>
            <w:shd w:fill="E8F0FE"/>
          </w:tcPr>
          <w:p>
            <w:r/>
            <w:r>
              <w:rPr>
                <w:rFonts w:ascii="Calibri" w:hAnsi="Calibri"/>
                <w:b/>
                <w:sz w:val="20"/>
              </w:rPr>
              <w:t>Detail</w:t>
            </w:r>
          </w:p>
        </w:tc>
      </w:tr>
      <w:tr>
        <w:tc>
          <w:tcPr>
            <w:tcW w:type="dxa" w:w="4320"/>
          </w:tcPr>
          <w:p>
            <w:r>
              <w:rPr>
                <w:rFonts w:ascii="Calibri" w:hAnsi="Calibri"/>
                <w:sz w:val="20"/>
              </w:rPr>
              <w:t>Profile</w:t>
            </w:r>
          </w:p>
        </w:tc>
        <w:tc>
          <w:tcPr>
            <w:tcW w:type="dxa" w:w="4320"/>
          </w:tcPr>
          <w:p>
            <w:r>
              <w:rPr>
                <w:rFonts w:ascii="Calibri" w:hAnsi="Calibri"/>
                <w:sz w:val="20"/>
              </w:rPr>
              <w:t>38, one-man plumbing business, 4–6 jobs/day, ~$180K/year revenue</w:t>
            </w:r>
          </w:p>
        </w:tc>
      </w:tr>
      <w:tr>
        <w:tc>
          <w:tcPr>
            <w:tcW w:type="dxa" w:w="4320"/>
          </w:tcPr>
          <w:p>
            <w:r>
              <w:rPr>
                <w:rFonts w:ascii="Calibri" w:hAnsi="Calibri"/>
                <w:sz w:val="20"/>
              </w:rPr>
              <w:t>Pain</w:t>
            </w:r>
          </w:p>
        </w:tc>
        <w:tc>
          <w:tcPr>
            <w:tcW w:type="dxa" w:w="4320"/>
          </w:tcPr>
          <w:p>
            <w:r>
              <w:rPr>
                <w:rFonts w:ascii="Calibri" w:hAnsi="Calibri"/>
                <w:sz w:val="20"/>
              </w:rPr>
              <w:t>~$12K in unpaid invoices. Sends one manual follow-up, then drops it. Hates feeling like a bill collector.</w:t>
            </w:r>
          </w:p>
        </w:tc>
      </w:tr>
      <w:tr>
        <w:tc>
          <w:tcPr>
            <w:tcW w:type="dxa" w:w="4320"/>
          </w:tcPr>
          <w:p>
            <w:r>
              <w:rPr>
                <w:rFonts w:ascii="Calibri" w:hAnsi="Calibri"/>
                <w:sz w:val="20"/>
              </w:rPr>
              <w:t>Message overload</w:t>
            </w:r>
          </w:p>
        </w:tc>
        <w:tc>
          <w:tcPr>
            <w:tcW w:type="dxa" w:w="4320"/>
          </w:tcPr>
          <w:p>
            <w:r>
              <w:rPr>
                <w:rFonts w:ascii="Calibri" w:hAnsi="Calibri"/>
                <w:sz w:val="20"/>
              </w:rPr>
              <w:t>15–20 customer texts/day through HCP. Payment messages get lost in scheduling chatter.</w:t>
            </w:r>
          </w:p>
        </w:tc>
      </w:tr>
    </w:tbl>
    <w:p/>
    <w:p>
      <w:pPr>
        <w:pStyle w:val="Heading3"/>
      </w:pPr>
      <w:r>
        <w:t>Persona 2: "Maria" — The Growing Cleaning Company Owner</w:t>
      </w:r>
    </w:p>
    <w:tbl>
      <w:tblPr>
        <w:tblStyle w:val="TableGrid"/>
        <w:tblW w:type="auto" w:w="0"/>
        <w:tblLook w:firstColumn="1" w:firstRow="1" w:lastColumn="0" w:lastRow="0" w:noHBand="0" w:noVBand="1" w:val="04A0"/>
      </w:tblPr>
      <w:tblGrid>
        <w:gridCol w:w="4320"/>
        <w:gridCol w:w="4320"/>
      </w:tblGrid>
      <w:tr>
        <w:tc>
          <w:tcPr>
            <w:tcW w:type="dxa" w:w="4320"/>
            <w:shd w:fill="E8F0FE"/>
          </w:tcPr>
          <w:p>
            <w:r/>
            <w:r>
              <w:rPr>
                <w:rFonts w:ascii="Calibri" w:hAnsi="Calibri"/>
                <w:b/>
                <w:sz w:val="20"/>
              </w:rPr>
              <w:t>Attribute</w:t>
            </w:r>
          </w:p>
        </w:tc>
        <w:tc>
          <w:tcPr>
            <w:tcW w:type="dxa" w:w="4320"/>
            <w:shd w:fill="E8F0FE"/>
          </w:tcPr>
          <w:p>
            <w:r/>
            <w:r>
              <w:rPr>
                <w:rFonts w:ascii="Calibri" w:hAnsi="Calibri"/>
                <w:b/>
                <w:sz w:val="20"/>
              </w:rPr>
              <w:t>Detail</w:t>
            </w:r>
          </w:p>
        </w:tc>
      </w:tr>
      <w:tr>
        <w:tc>
          <w:tcPr>
            <w:tcW w:type="dxa" w:w="4320"/>
          </w:tcPr>
          <w:p>
            <w:r>
              <w:rPr>
                <w:rFonts w:ascii="Calibri" w:hAnsi="Calibri"/>
                <w:sz w:val="20"/>
              </w:rPr>
              <w:t>Profile</w:t>
            </w:r>
          </w:p>
        </w:tc>
        <w:tc>
          <w:tcPr>
            <w:tcW w:type="dxa" w:w="4320"/>
          </w:tcPr>
          <w:p>
            <w:r>
              <w:rPr>
                <w:rFonts w:ascii="Calibri" w:hAnsi="Calibri"/>
                <w:sz w:val="20"/>
              </w:rPr>
              <w:t>42, 12-employee cleaning company, ~$450K/year revenue</w:t>
            </w:r>
          </w:p>
        </w:tc>
      </w:tr>
      <w:tr>
        <w:tc>
          <w:tcPr>
            <w:tcW w:type="dxa" w:w="4320"/>
          </w:tcPr>
          <w:p>
            <w:r>
              <w:rPr>
                <w:rFonts w:ascii="Calibri" w:hAnsi="Calibri"/>
                <w:sz w:val="20"/>
              </w:rPr>
              <w:t>Pain</w:t>
            </w:r>
          </w:p>
        </w:tc>
        <w:tc>
          <w:tcPr>
            <w:tcW w:type="dxa" w:w="4320"/>
          </w:tcPr>
          <w:p>
            <w:r>
              <w:rPr>
                <w:rFonts w:ascii="Calibri" w:hAnsi="Calibri"/>
                <w:sz w:val="20"/>
              </w:rPr>
              <w:t>15–25% of invoices overdue at any time (~$8K–$15K). Office helper can't answer billing questions — escalates to Maria, who's busy.</w:t>
            </w:r>
          </w:p>
        </w:tc>
      </w:tr>
      <w:tr>
        <w:tc>
          <w:tcPr>
            <w:tcW w:type="dxa" w:w="4320"/>
          </w:tcPr>
          <w:p>
            <w:r>
              <w:rPr>
                <w:rFonts w:ascii="Calibri" w:hAnsi="Calibri"/>
                <w:sz w:val="20"/>
              </w:rPr>
              <w:t>Message overload</w:t>
            </w:r>
          </w:p>
        </w:tc>
        <w:tc>
          <w:tcPr>
            <w:tcW w:type="dxa" w:w="4320"/>
          </w:tcPr>
          <w:p>
            <w:r>
              <w:rPr>
                <w:rFonts w:ascii="Calibri" w:hAnsi="Calibri"/>
                <w:sz w:val="20"/>
              </w:rPr>
              <w:t>Multiple team members see messages but nobody "owns" follow-up. Questions sit unanswered for days.</w:t>
            </w:r>
          </w:p>
        </w:tc>
      </w:tr>
    </w:tbl>
    <w:p/>
    <w:p>
      <w:pPr>
        <w:pStyle w:val="Heading3"/>
      </w:pPr>
      <w:r>
        <w:t>Persona 3: "Jesse" — The HVAC Technician-Owner</w:t>
      </w:r>
    </w:p>
    <w:tbl>
      <w:tblPr>
        <w:tblStyle w:val="TableGrid"/>
        <w:tblW w:type="auto" w:w="0"/>
        <w:tblLook w:firstColumn="1" w:firstRow="1" w:lastColumn="0" w:lastRow="0" w:noHBand="0" w:noVBand="1" w:val="04A0"/>
      </w:tblPr>
      <w:tblGrid>
        <w:gridCol w:w="4320"/>
        <w:gridCol w:w="4320"/>
      </w:tblGrid>
      <w:tr>
        <w:tc>
          <w:tcPr>
            <w:tcW w:type="dxa" w:w="4320"/>
            <w:shd w:fill="E8F0FE"/>
          </w:tcPr>
          <w:p>
            <w:r/>
            <w:r>
              <w:rPr>
                <w:rFonts w:ascii="Calibri" w:hAnsi="Calibri"/>
                <w:b/>
                <w:sz w:val="20"/>
              </w:rPr>
              <w:t>Attribute</w:t>
            </w:r>
          </w:p>
        </w:tc>
        <w:tc>
          <w:tcPr>
            <w:tcW w:type="dxa" w:w="4320"/>
            <w:shd w:fill="E8F0FE"/>
          </w:tcPr>
          <w:p>
            <w:r/>
            <w:r>
              <w:rPr>
                <w:rFonts w:ascii="Calibri" w:hAnsi="Calibri"/>
                <w:b/>
                <w:sz w:val="20"/>
              </w:rPr>
              <w:t>Detail</w:t>
            </w:r>
          </w:p>
        </w:tc>
      </w:tr>
      <w:tr>
        <w:tc>
          <w:tcPr>
            <w:tcW w:type="dxa" w:w="4320"/>
          </w:tcPr>
          <w:p>
            <w:r>
              <w:rPr>
                <w:rFonts w:ascii="Calibri" w:hAnsi="Calibri"/>
                <w:sz w:val="20"/>
              </w:rPr>
              <w:t>Profile</w:t>
            </w:r>
          </w:p>
        </w:tc>
        <w:tc>
          <w:tcPr>
            <w:tcW w:type="dxa" w:w="4320"/>
          </w:tcPr>
          <w:p>
            <w:r>
              <w:rPr>
                <w:rFonts w:ascii="Calibri" w:hAnsi="Calibri"/>
                <w:sz w:val="20"/>
              </w:rPr>
              <w:t>51, 4-person HVAC company, ~$600K/year revenue, high-ticket jobs ($2K–$8K)</w:t>
            </w:r>
          </w:p>
        </w:tc>
      </w:tr>
      <w:tr>
        <w:tc>
          <w:tcPr>
            <w:tcW w:type="dxa" w:w="4320"/>
          </w:tcPr>
          <w:p>
            <w:r>
              <w:rPr>
                <w:rFonts w:ascii="Calibri" w:hAnsi="Calibri"/>
                <w:sz w:val="20"/>
              </w:rPr>
              <w:t>Pain</w:t>
            </w:r>
          </w:p>
        </w:tc>
        <w:tc>
          <w:tcPr>
            <w:tcW w:type="dxa" w:w="4320"/>
          </w:tcPr>
          <w:p>
            <w:r>
              <w:rPr>
                <w:rFonts w:ascii="Calibri" w:hAnsi="Calibri"/>
                <w:sz w:val="20"/>
              </w:rPr>
              <w:t>$35K in outstanding receivables. Only Jesse can explain technical pricing differences — he's the bottleneck.</w:t>
            </w:r>
          </w:p>
        </w:tc>
      </w:tr>
      <w:tr>
        <w:tc>
          <w:tcPr>
            <w:tcW w:type="dxa" w:w="4320"/>
          </w:tcPr>
          <w:p>
            <w:r>
              <w:rPr>
                <w:rFonts w:ascii="Calibri" w:hAnsi="Calibri"/>
                <w:sz w:val="20"/>
              </w:rPr>
              <w:t>Message overload</w:t>
            </w:r>
          </w:p>
        </w:tc>
        <w:tc>
          <w:tcPr>
            <w:tcW w:type="dxa" w:w="4320"/>
          </w:tcPr>
          <w:p>
            <w:r>
              <w:rPr>
                <w:rFonts w:ascii="Calibri" w:hAnsi="Calibri"/>
                <w:sz w:val="20"/>
              </w:rPr>
              <w:t>Critical questions like "why is this $800 more than the estimate?" sit for 2–3 days while Jesse is on a roof.</w:t>
            </w:r>
          </w:p>
        </w:tc>
      </w:tr>
    </w:tbl>
    <w:p/>
    <w:p>
      <w:pPr>
        <w:pStyle w:val="Heading2"/>
      </w:pPr>
      <w:r>
        <w:t>Functional Requirements</w:t>
      </w:r>
    </w:p>
    <w:p>
      <w:pPr>
        <w:pStyle w:val="Heading3"/>
      </w:pPr>
      <w:r>
        <w:t>P0 — Must Have (MVP)</w:t>
      </w:r>
    </w:p>
    <w:tbl>
      <w:tblPr>
        <w:tblStyle w:val="TableGrid"/>
        <w:tblW w:type="auto" w:w="0"/>
        <w:tblLook w:firstColumn="1" w:firstRow="1" w:lastColumn="0" w:lastRow="0" w:noHBand="0" w:noVBand="1" w:val="04A0"/>
      </w:tblPr>
      <w:tblGrid>
        <w:gridCol w:w="2880"/>
        <w:gridCol w:w="2880"/>
        <w:gridCol w:w="2880"/>
      </w:tblGrid>
      <w:tr>
        <w:tc>
          <w:tcPr>
            <w:tcW w:type="dxa" w:w="2880"/>
            <w:shd w:fill="E8F0FE"/>
          </w:tcPr>
          <w:p>
            <w:r/>
            <w:r>
              <w:rPr>
                <w:rFonts w:ascii="Calibri" w:hAnsi="Calibri"/>
                <w:b/>
                <w:sz w:val="20"/>
              </w:rPr>
              <w:t>ID</w:t>
            </w:r>
          </w:p>
        </w:tc>
        <w:tc>
          <w:tcPr>
            <w:tcW w:type="dxa" w:w="2880"/>
            <w:shd w:fill="E8F0FE"/>
          </w:tcPr>
          <w:p>
            <w:r/>
            <w:r>
              <w:rPr>
                <w:rFonts w:ascii="Calibri" w:hAnsi="Calibri"/>
                <w:b/>
                <w:sz w:val="20"/>
              </w:rPr>
              <w:t>Requirement</w:t>
            </w:r>
          </w:p>
        </w:tc>
        <w:tc>
          <w:tcPr>
            <w:tcW w:type="dxa" w:w="2880"/>
            <w:shd w:fill="E8F0FE"/>
          </w:tcPr>
          <w:p>
            <w:r/>
            <w:r>
              <w:rPr>
                <w:rFonts w:ascii="Calibri" w:hAnsi="Calibri"/>
                <w:b/>
                <w:sz w:val="20"/>
              </w:rPr>
              <w:t>Rationale</w:t>
            </w:r>
          </w:p>
        </w:tc>
      </w:tr>
      <w:tr>
        <w:tc>
          <w:tcPr>
            <w:tcW w:type="dxa" w:w="2880"/>
          </w:tcPr>
          <w:p>
            <w:r>
              <w:rPr>
                <w:rFonts w:ascii="Calibri" w:hAnsi="Calibri"/>
                <w:sz w:val="20"/>
              </w:rPr>
              <w:t>FR-01</w:t>
            </w:r>
          </w:p>
        </w:tc>
        <w:tc>
          <w:tcPr>
            <w:tcW w:type="dxa" w:w="2880"/>
          </w:tcPr>
          <w:p>
            <w:r>
              <w:rPr>
                <w:rFonts w:ascii="Calibri" w:hAnsi="Calibri"/>
                <w:sz w:val="20"/>
              </w:rPr>
              <w:t>AI scans conversations to identify payment-related signals (promises, questions, concerns, new invoices)</w:t>
            </w:r>
          </w:p>
        </w:tc>
        <w:tc>
          <w:tcPr>
            <w:tcW w:type="dxa" w:w="2880"/>
          </w:tcPr>
          <w:p>
            <w:r>
              <w:rPr>
                <w:rFonts w:ascii="Calibri" w:hAnsi="Calibri"/>
                <w:sz w:val="20"/>
              </w:rPr>
              <w:t>Core value proposition — surface what matters without pro effort</w:t>
            </w:r>
          </w:p>
        </w:tc>
      </w:tr>
      <w:tr>
        <w:tc>
          <w:tcPr>
            <w:tcW w:type="dxa" w:w="2880"/>
          </w:tcPr>
          <w:p>
            <w:r>
              <w:rPr>
                <w:rFonts w:ascii="Calibri" w:hAnsi="Calibri"/>
                <w:sz w:val="20"/>
              </w:rPr>
              <w:t>FR-02</w:t>
            </w:r>
          </w:p>
        </w:tc>
        <w:tc>
          <w:tcPr>
            <w:tcW w:type="dxa" w:w="2880"/>
          </w:tcPr>
          <w:p>
            <w:r>
              <w:rPr>
                <w:rFonts w:ascii="Calibri" w:hAnsi="Calibri"/>
                <w:sz w:val="20"/>
              </w:rPr>
              <w:t>Action cards displayed at top of inbox for high-confidence recommendations with priority ranking</w:t>
            </w:r>
          </w:p>
        </w:tc>
        <w:tc>
          <w:tcPr>
            <w:tcW w:type="dxa" w:w="2880"/>
          </w:tcPr>
          <w:p>
            <w:r>
              <w:rPr>
                <w:rFonts w:ascii="Calibri" w:hAnsi="Calibri"/>
                <w:sz w:val="20"/>
              </w:rPr>
              <w:t>Immediate visibility; pro sees actions without searching</w:t>
            </w:r>
          </w:p>
        </w:tc>
      </w:tr>
      <w:tr>
        <w:tc>
          <w:tcPr>
            <w:tcW w:type="dxa" w:w="2880"/>
          </w:tcPr>
          <w:p>
            <w:r>
              <w:rPr>
                <w:rFonts w:ascii="Calibri" w:hAnsi="Calibri"/>
                <w:sz w:val="20"/>
              </w:rPr>
              <w:t>FR-03</w:t>
            </w:r>
          </w:p>
        </w:tc>
        <w:tc>
          <w:tcPr>
            <w:tcW w:type="dxa" w:w="2880"/>
          </w:tcPr>
          <w:p>
            <w:r>
              <w:rPr>
                <w:rFonts w:ascii="Calibri" w:hAnsi="Calibri"/>
                <w:sz w:val="20"/>
              </w:rPr>
              <w:t>AI generates contextual draft responses using conversation history and structured invoice data</w:t>
            </w:r>
          </w:p>
        </w:tc>
        <w:tc>
          <w:tcPr>
            <w:tcW w:type="dxa" w:w="2880"/>
          </w:tcPr>
          <w:p>
            <w:r>
              <w:rPr>
                <w:rFonts w:ascii="Calibri" w:hAnsi="Calibri"/>
                <w:sz w:val="20"/>
              </w:rPr>
              <w:t>Core feature — ready-to-send messages grounded in real data</w:t>
            </w:r>
          </w:p>
        </w:tc>
      </w:tr>
      <w:tr>
        <w:tc>
          <w:tcPr>
            <w:tcW w:type="dxa" w:w="2880"/>
          </w:tcPr>
          <w:p>
            <w:r>
              <w:rPr>
                <w:rFonts w:ascii="Calibri" w:hAnsi="Calibri"/>
                <w:sz w:val="20"/>
              </w:rPr>
              <w:t>FR-04</w:t>
            </w:r>
          </w:p>
        </w:tc>
        <w:tc>
          <w:tcPr>
            <w:tcW w:type="dxa" w:w="2880"/>
          </w:tcPr>
          <w:p>
            <w:r>
              <w:rPr>
                <w:rFonts w:ascii="Calibri" w:hAnsi="Calibri"/>
                <w:sz w:val="20"/>
              </w:rPr>
              <w:t>Pro can review, edit, and send AI-drafted messages</w:t>
            </w:r>
          </w:p>
        </w:tc>
        <w:tc>
          <w:tcPr>
            <w:tcW w:type="dxa" w:w="2880"/>
          </w:tcPr>
          <w:p>
            <w:r>
              <w:rPr>
                <w:rFonts w:ascii="Calibri" w:hAnsi="Calibri"/>
                <w:sz w:val="20"/>
              </w:rPr>
              <w:t>Human-in-the-loop control; no autonomous sending in Phase 1</w:t>
            </w:r>
          </w:p>
        </w:tc>
      </w:tr>
      <w:tr>
        <w:tc>
          <w:tcPr>
            <w:tcW w:type="dxa" w:w="2880"/>
          </w:tcPr>
          <w:p>
            <w:r>
              <w:rPr>
                <w:rFonts w:ascii="Calibri" w:hAnsi="Calibri"/>
                <w:sz w:val="20"/>
              </w:rPr>
              <w:t>FR-05</w:t>
            </w:r>
          </w:p>
        </w:tc>
        <w:tc>
          <w:tcPr>
            <w:tcW w:type="dxa" w:w="2880"/>
          </w:tcPr>
          <w:p>
            <w:r>
              <w:rPr>
                <w:rFonts w:ascii="Calibri" w:hAnsi="Calibri"/>
                <w:sz w:val="20"/>
              </w:rPr>
              <w:t>Reasoning transparency: source messages, confidence score, and logic visible via "See reasoning" panel</w:t>
            </w:r>
          </w:p>
        </w:tc>
        <w:tc>
          <w:tcPr>
            <w:tcW w:type="dxa" w:w="2880"/>
          </w:tcPr>
          <w:p>
            <w:r>
              <w:rPr>
                <w:rFonts w:ascii="Calibri" w:hAnsi="Calibri"/>
                <w:sz w:val="20"/>
              </w:rPr>
              <w:t>Trust-building through transparency; pro verifies AI "did its homework"</w:t>
            </w:r>
          </w:p>
        </w:tc>
      </w:tr>
      <w:tr>
        <w:tc>
          <w:tcPr>
            <w:tcW w:type="dxa" w:w="2880"/>
          </w:tcPr>
          <w:p>
            <w:r>
              <w:rPr>
                <w:rFonts w:ascii="Calibri" w:hAnsi="Calibri"/>
                <w:sz w:val="20"/>
              </w:rPr>
              <w:t>FR-06</w:t>
            </w:r>
          </w:p>
        </w:tc>
        <w:tc>
          <w:tcPr>
            <w:tcW w:type="dxa" w:w="2880"/>
          </w:tcPr>
          <w:p>
            <w:r>
              <w:rPr>
                <w:rFonts w:ascii="Calibri" w:hAnsi="Calibri"/>
                <w:sz w:val="20"/>
              </w:rPr>
              <w:t>Dismiss functionality for individual action cards</w:t>
            </w:r>
          </w:p>
        </w:tc>
        <w:tc>
          <w:tcPr>
            <w:tcW w:type="dxa" w:w="2880"/>
          </w:tcPr>
          <w:p>
            <w:r>
              <w:rPr>
                <w:rFonts w:ascii="Calibri" w:hAnsi="Calibri"/>
                <w:sz w:val="20"/>
              </w:rPr>
              <w:t>Pro control; dismissals tracked as quality signal</w:t>
            </w:r>
          </w:p>
        </w:tc>
      </w:tr>
      <w:tr>
        <w:tc>
          <w:tcPr>
            <w:tcW w:type="dxa" w:w="2880"/>
          </w:tcPr>
          <w:p>
            <w:r>
              <w:rPr>
                <w:rFonts w:ascii="Calibri" w:hAnsi="Calibri"/>
                <w:sz w:val="20"/>
              </w:rPr>
              <w:t>FR-07</w:t>
            </w:r>
          </w:p>
        </w:tc>
        <w:tc>
          <w:tcPr>
            <w:tcW w:type="dxa" w:w="2880"/>
          </w:tcPr>
          <w:p>
            <w:r>
              <w:rPr>
                <w:rFonts w:ascii="Calibri" w:hAnsi="Calibri"/>
                <w:sz w:val="20"/>
              </w:rPr>
              <w:t>Factual grounding: all amounts, dates, and line items sourced from structured invoice data, never hallucinated</w:t>
            </w:r>
          </w:p>
        </w:tc>
        <w:tc>
          <w:tcPr>
            <w:tcW w:type="dxa" w:w="2880"/>
          </w:tcPr>
          <w:p>
            <w:r>
              <w:rPr>
                <w:rFonts w:ascii="Calibri" w:hAnsi="Calibri"/>
                <w:sz w:val="20"/>
              </w:rPr>
              <w:t>Financial accuracy is non-negotiable — zero tolerance for errors</w:t>
            </w:r>
          </w:p>
        </w:tc>
      </w:tr>
    </w:tbl>
    <w:p/>
    <w:p>
      <w:pPr>
        <w:pStyle w:val="Heading3"/>
      </w:pPr>
      <w:r>
        <w:t>P1 — Should Have</w:t>
      </w:r>
    </w:p>
    <w:tbl>
      <w:tblPr>
        <w:tblStyle w:val="TableGrid"/>
        <w:tblW w:type="auto" w:w="0"/>
        <w:tblLook w:firstColumn="1" w:firstRow="1" w:lastColumn="0" w:lastRow="0" w:noHBand="0" w:noVBand="1" w:val="04A0"/>
      </w:tblPr>
      <w:tblGrid>
        <w:gridCol w:w="2880"/>
        <w:gridCol w:w="2880"/>
        <w:gridCol w:w="2880"/>
      </w:tblGrid>
      <w:tr>
        <w:tc>
          <w:tcPr>
            <w:tcW w:type="dxa" w:w="2880"/>
            <w:shd w:fill="E8F0FE"/>
          </w:tcPr>
          <w:p>
            <w:r/>
            <w:r>
              <w:rPr>
                <w:rFonts w:ascii="Calibri" w:hAnsi="Calibri"/>
                <w:b/>
                <w:sz w:val="20"/>
              </w:rPr>
              <w:t>ID</w:t>
            </w:r>
          </w:p>
        </w:tc>
        <w:tc>
          <w:tcPr>
            <w:tcW w:type="dxa" w:w="2880"/>
            <w:shd w:fill="E8F0FE"/>
          </w:tcPr>
          <w:p>
            <w:r/>
            <w:r>
              <w:rPr>
                <w:rFonts w:ascii="Calibri" w:hAnsi="Calibri"/>
                <w:b/>
                <w:sz w:val="20"/>
              </w:rPr>
              <w:t>Requirement</w:t>
            </w:r>
          </w:p>
        </w:tc>
        <w:tc>
          <w:tcPr>
            <w:tcW w:type="dxa" w:w="2880"/>
            <w:shd w:fill="E8F0FE"/>
          </w:tcPr>
          <w:p>
            <w:r/>
            <w:r>
              <w:rPr>
                <w:rFonts w:ascii="Calibri" w:hAnsi="Calibri"/>
                <w:b/>
                <w:sz w:val="20"/>
              </w:rPr>
              <w:t>Rationale</w:t>
            </w:r>
          </w:p>
        </w:tc>
      </w:tr>
      <w:tr>
        <w:tc>
          <w:tcPr>
            <w:tcW w:type="dxa" w:w="2880"/>
          </w:tcPr>
          <w:p>
            <w:r>
              <w:rPr>
                <w:rFonts w:ascii="Calibri" w:hAnsi="Calibri"/>
                <w:sz w:val="20"/>
              </w:rPr>
              <w:t>FR-08</w:t>
            </w:r>
          </w:p>
        </w:tc>
        <w:tc>
          <w:tcPr>
            <w:tcW w:type="dxa" w:w="2880"/>
          </w:tcPr>
          <w:p>
            <w:r>
              <w:rPr>
                <w:rFonts w:ascii="Calibri" w:hAnsi="Calibri"/>
                <w:sz w:val="20"/>
              </w:rPr>
              <w:t>Four distinct action types: payment follow-up, invoice question, invoice summary, payment plan</w:t>
            </w:r>
          </w:p>
        </w:tc>
        <w:tc>
          <w:tcPr>
            <w:tcW w:type="dxa" w:w="2880"/>
          </w:tcPr>
          <w:p>
            <w:r>
              <w:rPr>
                <w:rFonts w:ascii="Calibri" w:hAnsi="Calibri"/>
                <w:sz w:val="20"/>
              </w:rPr>
              <w:t>Different situations need different response strategies and tone</w:t>
            </w:r>
          </w:p>
        </w:tc>
      </w:tr>
      <w:tr>
        <w:tc>
          <w:tcPr>
            <w:tcW w:type="dxa" w:w="2880"/>
          </w:tcPr>
          <w:p>
            <w:r>
              <w:rPr>
                <w:rFonts w:ascii="Calibri" w:hAnsi="Calibri"/>
                <w:sz w:val="20"/>
              </w:rPr>
              <w:t>FR-09</w:t>
            </w:r>
          </w:p>
        </w:tc>
        <w:tc>
          <w:tcPr>
            <w:tcW w:type="dxa" w:w="2880"/>
          </w:tcPr>
          <w:p>
            <w:r>
              <w:rPr>
                <w:rFonts w:ascii="Calibri" w:hAnsi="Calibri"/>
                <w:sz w:val="20"/>
              </w:rPr>
              <w:t>Priority ranking of action cards (high / medium / low) with visual differentiation</w:t>
            </w:r>
          </w:p>
        </w:tc>
        <w:tc>
          <w:tcPr>
            <w:tcW w:type="dxa" w:w="2880"/>
          </w:tcPr>
          <w:p>
            <w:r>
              <w:rPr>
                <w:rFonts w:ascii="Calibri" w:hAnsi="Calibri"/>
                <w:sz w:val="20"/>
              </w:rPr>
              <w:t>Help pros triage — highest-impact actions are most visible</w:t>
            </w:r>
          </w:p>
        </w:tc>
      </w:tr>
      <w:tr>
        <w:tc>
          <w:tcPr>
            <w:tcW w:type="dxa" w:w="2880"/>
          </w:tcPr>
          <w:p>
            <w:r>
              <w:rPr>
                <w:rFonts w:ascii="Calibri" w:hAnsi="Calibri"/>
                <w:sz w:val="20"/>
              </w:rPr>
              <w:t>FR-10</w:t>
            </w:r>
          </w:p>
        </w:tc>
        <w:tc>
          <w:tcPr>
            <w:tcW w:type="dxa" w:w="2880"/>
          </w:tcPr>
          <w:p>
            <w:r>
              <w:rPr>
                <w:rFonts w:ascii="Calibri" w:hAnsi="Calibri"/>
                <w:sz w:val="20"/>
              </w:rPr>
              <w:t>Section-level dismiss (opt out of all AI suggestions)</w:t>
            </w:r>
          </w:p>
        </w:tc>
        <w:tc>
          <w:tcPr>
            <w:tcW w:type="dxa" w:w="2880"/>
          </w:tcPr>
          <w:p>
            <w:r>
              <w:rPr>
                <w:rFonts w:ascii="Calibri" w:hAnsi="Calibri"/>
                <w:sz w:val="20"/>
              </w:rPr>
              <w:t>Respect pro autonomy; strong negative signal for guardrail monitoring</w:t>
            </w:r>
          </w:p>
        </w:tc>
      </w:tr>
      <w:tr>
        <w:tc>
          <w:tcPr>
            <w:tcW w:type="dxa" w:w="2880"/>
          </w:tcPr>
          <w:p>
            <w:r>
              <w:rPr>
                <w:rFonts w:ascii="Calibri" w:hAnsi="Calibri"/>
                <w:sz w:val="20"/>
              </w:rPr>
              <w:t>FR-11</w:t>
            </w:r>
          </w:p>
        </w:tc>
        <w:tc>
          <w:tcPr>
            <w:tcW w:type="dxa" w:w="2880"/>
          </w:tcPr>
          <w:p>
            <w:r>
              <w:rPr>
                <w:rFonts w:ascii="Calibri" w:hAnsi="Calibri"/>
                <w:sz w:val="20"/>
              </w:rPr>
              <w:t>Dismiss event tracking for analytics and guardrail metrics</w:t>
            </w:r>
          </w:p>
        </w:tc>
        <w:tc>
          <w:tcPr>
            <w:tcW w:type="dxa" w:w="2880"/>
          </w:tcPr>
          <w:p>
            <w:r>
              <w:rPr>
                <w:rFonts w:ascii="Calibri" w:hAnsi="Calibri"/>
                <w:sz w:val="20"/>
              </w:rPr>
              <w:t>Quantitative signal for whether recommendations provide value</w:t>
            </w:r>
          </w:p>
        </w:tc>
      </w:tr>
    </w:tbl>
    <w:p/>
    <w:p>
      <w:pPr>
        <w:pStyle w:val="Heading3"/>
      </w:pPr>
      <w:r>
        <w:t>P2 — Nice to Have (Post-MVP)</w:t>
      </w:r>
    </w:p>
    <w:tbl>
      <w:tblPr>
        <w:tblStyle w:val="TableGrid"/>
        <w:tblW w:type="auto" w:w="0"/>
        <w:tblLook w:firstColumn="1" w:firstRow="1" w:lastColumn="0" w:lastRow="0" w:noHBand="0" w:noVBand="1" w:val="04A0"/>
      </w:tblPr>
      <w:tblGrid>
        <w:gridCol w:w="2880"/>
        <w:gridCol w:w="2880"/>
        <w:gridCol w:w="2880"/>
      </w:tblGrid>
      <w:tr>
        <w:tc>
          <w:tcPr>
            <w:tcW w:type="dxa" w:w="2880"/>
            <w:shd w:fill="E8F0FE"/>
          </w:tcPr>
          <w:p>
            <w:r/>
            <w:r>
              <w:rPr>
                <w:rFonts w:ascii="Calibri" w:hAnsi="Calibri"/>
                <w:b/>
                <w:sz w:val="20"/>
              </w:rPr>
              <w:t>ID</w:t>
            </w:r>
          </w:p>
        </w:tc>
        <w:tc>
          <w:tcPr>
            <w:tcW w:type="dxa" w:w="2880"/>
            <w:shd w:fill="E8F0FE"/>
          </w:tcPr>
          <w:p>
            <w:r/>
            <w:r>
              <w:rPr>
                <w:rFonts w:ascii="Calibri" w:hAnsi="Calibri"/>
                <w:b/>
                <w:sz w:val="20"/>
              </w:rPr>
              <w:t>Requirement</w:t>
            </w:r>
          </w:p>
        </w:tc>
        <w:tc>
          <w:tcPr>
            <w:tcW w:type="dxa" w:w="2880"/>
            <w:shd w:fill="E8F0FE"/>
          </w:tcPr>
          <w:p>
            <w:r/>
            <w:r>
              <w:rPr>
                <w:rFonts w:ascii="Calibri" w:hAnsi="Calibri"/>
                <w:b/>
                <w:sz w:val="20"/>
              </w:rPr>
              <w:t>Rationale</w:t>
            </w:r>
          </w:p>
        </w:tc>
      </w:tr>
      <w:tr>
        <w:tc>
          <w:tcPr>
            <w:tcW w:type="dxa" w:w="2880"/>
          </w:tcPr>
          <w:p>
            <w:r>
              <w:rPr>
                <w:rFonts w:ascii="Calibri" w:hAnsi="Calibri"/>
                <w:sz w:val="20"/>
              </w:rPr>
              <w:t>FR-12</w:t>
            </w:r>
          </w:p>
        </w:tc>
        <w:tc>
          <w:tcPr>
            <w:tcW w:type="dxa" w:w="2880"/>
          </w:tcPr>
          <w:p>
            <w:r>
              <w:rPr>
                <w:rFonts w:ascii="Calibri" w:hAnsi="Calibri"/>
                <w:sz w:val="20"/>
              </w:rPr>
              <w:t>Thumbs up / down feedback on individual drafts</w:t>
            </w:r>
          </w:p>
        </w:tc>
        <w:tc>
          <w:tcPr>
            <w:tcW w:type="dxa" w:w="2880"/>
          </w:tcPr>
          <w:p>
            <w:r>
              <w:rPr>
                <w:rFonts w:ascii="Calibri" w:hAnsi="Calibri"/>
                <w:sz w:val="20"/>
              </w:rPr>
              <w:t>Explicit quality signal to complement implicit send/dismiss data</w:t>
            </w:r>
          </w:p>
        </w:tc>
      </w:tr>
      <w:tr>
        <w:tc>
          <w:tcPr>
            <w:tcW w:type="dxa" w:w="2880"/>
          </w:tcPr>
          <w:p>
            <w:r>
              <w:rPr>
                <w:rFonts w:ascii="Calibri" w:hAnsi="Calibri"/>
                <w:sz w:val="20"/>
              </w:rPr>
              <w:t>FR-13</w:t>
            </w:r>
          </w:p>
        </w:tc>
        <w:tc>
          <w:tcPr>
            <w:tcW w:type="dxa" w:w="2880"/>
          </w:tcPr>
          <w:p>
            <w:r>
              <w:rPr>
                <w:rFonts w:ascii="Calibri" w:hAnsi="Calibri"/>
                <w:sz w:val="20"/>
              </w:rPr>
              <w:t>Draft improvement learning from pro edit patterns</w:t>
            </w:r>
          </w:p>
        </w:tc>
        <w:tc>
          <w:tcPr>
            <w:tcW w:type="dxa" w:w="2880"/>
          </w:tcPr>
          <w:p>
            <w:r>
              <w:rPr>
                <w:rFonts w:ascii="Calibri" w:hAnsi="Calibri"/>
                <w:sz w:val="20"/>
              </w:rPr>
              <w:t>Continuous quality improvement based on how pros modify AI suggestions</w:t>
            </w:r>
          </w:p>
        </w:tc>
      </w:tr>
      <w:tr>
        <w:tc>
          <w:tcPr>
            <w:tcW w:type="dxa" w:w="2880"/>
          </w:tcPr>
          <w:p>
            <w:r>
              <w:rPr>
                <w:rFonts w:ascii="Calibri" w:hAnsi="Calibri"/>
                <w:sz w:val="20"/>
              </w:rPr>
              <w:t>FR-14</w:t>
            </w:r>
          </w:p>
        </w:tc>
        <w:tc>
          <w:tcPr>
            <w:tcW w:type="dxa" w:w="2880"/>
          </w:tcPr>
          <w:p>
            <w:r>
              <w:rPr>
                <w:rFonts w:ascii="Calibri" w:hAnsi="Calibri"/>
                <w:sz w:val="20"/>
              </w:rPr>
              <w:t>Customizable confidence threshold per pro</w:t>
            </w:r>
          </w:p>
        </w:tc>
        <w:tc>
          <w:tcPr>
            <w:tcW w:type="dxa" w:w="2880"/>
          </w:tcPr>
          <w:p>
            <w:r>
              <w:rPr>
                <w:rFonts w:ascii="Calibri" w:hAnsi="Calibri"/>
                <w:sz w:val="20"/>
              </w:rPr>
              <w:t>Power users may want more or fewer suggestions</w:t>
            </w:r>
          </w:p>
        </w:tc>
      </w:tr>
      <w:tr>
        <w:tc>
          <w:tcPr>
            <w:tcW w:type="dxa" w:w="2880"/>
          </w:tcPr>
          <w:p>
            <w:r>
              <w:rPr>
                <w:rFonts w:ascii="Calibri" w:hAnsi="Calibri"/>
                <w:sz w:val="20"/>
              </w:rPr>
              <w:t>FR-15</w:t>
            </w:r>
          </w:p>
        </w:tc>
        <w:tc>
          <w:tcPr>
            <w:tcW w:type="dxa" w:w="2880"/>
          </w:tcPr>
          <w:p>
            <w:r>
              <w:rPr>
                <w:rFonts w:ascii="Calibri" w:hAnsi="Calibri"/>
                <w:sz w:val="20"/>
              </w:rPr>
              <w:t>Auto-send for specific action types with pro opt-in (Phase 2)</w:t>
            </w:r>
          </w:p>
        </w:tc>
        <w:tc>
          <w:tcPr>
            <w:tcW w:type="dxa" w:w="2880"/>
          </w:tcPr>
          <w:p>
            <w:r>
              <w:rPr>
                <w:rFonts w:ascii="Calibri" w:hAnsi="Calibri"/>
                <w:sz w:val="20"/>
              </w:rPr>
              <w:t>Earned autonomy for proven, low-risk action types</w:t>
            </w:r>
          </w:p>
        </w:tc>
      </w:tr>
    </w:tbl>
    <w:p/>
    <w:p>
      <w:pPr>
        <w:pStyle w:val="Heading2"/>
      </w:pPr>
      <w:r>
        <w:t>Non-Functional Requirements</w:t>
      </w:r>
    </w:p>
    <w:tbl>
      <w:tblPr>
        <w:tblStyle w:val="TableGrid"/>
        <w:tblW w:type="auto" w:w="0"/>
        <w:tblLook w:firstColumn="1" w:firstRow="1" w:lastColumn="0" w:lastRow="0" w:noHBand="0" w:noVBand="1" w:val="04A0"/>
      </w:tblPr>
      <w:tblGrid>
        <w:gridCol w:w="2880"/>
        <w:gridCol w:w="2880"/>
        <w:gridCol w:w="2880"/>
      </w:tblGrid>
      <w:tr>
        <w:tc>
          <w:tcPr>
            <w:tcW w:type="dxa" w:w="2880"/>
            <w:shd w:fill="E8F0FE"/>
          </w:tcPr>
          <w:p>
            <w:r/>
            <w:r>
              <w:rPr>
                <w:rFonts w:ascii="Calibri" w:hAnsi="Calibri"/>
                <w:b/>
                <w:sz w:val="20"/>
              </w:rPr>
              <w:t>ID</w:t>
            </w:r>
          </w:p>
        </w:tc>
        <w:tc>
          <w:tcPr>
            <w:tcW w:type="dxa" w:w="2880"/>
            <w:shd w:fill="E8F0FE"/>
          </w:tcPr>
          <w:p>
            <w:r/>
            <w:r>
              <w:rPr>
                <w:rFonts w:ascii="Calibri" w:hAnsi="Calibri"/>
                <w:b/>
                <w:sz w:val="20"/>
              </w:rPr>
              <w:t>Requirement</w:t>
            </w:r>
          </w:p>
        </w:tc>
        <w:tc>
          <w:tcPr>
            <w:tcW w:type="dxa" w:w="2880"/>
            <w:shd w:fill="E8F0FE"/>
          </w:tcPr>
          <w:p>
            <w:r/>
            <w:r>
              <w:rPr>
                <w:rFonts w:ascii="Calibri" w:hAnsi="Calibri"/>
                <w:b/>
                <w:sz w:val="20"/>
              </w:rPr>
              <w:t>Target</w:t>
            </w:r>
          </w:p>
        </w:tc>
      </w:tr>
      <w:tr>
        <w:tc>
          <w:tcPr>
            <w:tcW w:type="dxa" w:w="2880"/>
          </w:tcPr>
          <w:p>
            <w:r>
              <w:rPr>
                <w:rFonts w:ascii="Calibri" w:hAnsi="Calibri"/>
                <w:sz w:val="20"/>
              </w:rPr>
              <w:t>NFR-01</w:t>
            </w:r>
          </w:p>
        </w:tc>
        <w:tc>
          <w:tcPr>
            <w:tcW w:type="dxa" w:w="2880"/>
          </w:tcPr>
          <w:p>
            <w:r>
              <w:rPr>
                <w:rFonts w:ascii="Calibri" w:hAnsi="Calibri"/>
                <w:sz w:val="20"/>
              </w:rPr>
              <w:t>Draft generation latency</w:t>
            </w:r>
          </w:p>
        </w:tc>
        <w:tc>
          <w:tcPr>
            <w:tcW w:type="dxa" w:w="2880"/>
          </w:tcPr>
          <w:p>
            <w:r>
              <w:rPr>
                <w:rFonts w:ascii="Calibri" w:hAnsi="Calibri"/>
                <w:sz w:val="20"/>
              </w:rPr>
              <w:t>&lt; 5 seconds from request to display</w:t>
            </w:r>
          </w:p>
        </w:tc>
      </w:tr>
      <w:tr>
        <w:tc>
          <w:tcPr>
            <w:tcW w:type="dxa" w:w="2880"/>
          </w:tcPr>
          <w:p>
            <w:r>
              <w:rPr>
                <w:rFonts w:ascii="Calibri" w:hAnsi="Calibri"/>
                <w:sz w:val="20"/>
              </w:rPr>
              <w:t>NFR-02</w:t>
            </w:r>
          </w:p>
        </w:tc>
        <w:tc>
          <w:tcPr>
            <w:tcW w:type="dxa" w:w="2880"/>
          </w:tcPr>
          <w:p>
            <w:r>
              <w:rPr>
                <w:rFonts w:ascii="Calibri" w:hAnsi="Calibri"/>
                <w:sz w:val="20"/>
              </w:rPr>
              <w:t>Action card refresh frequency</w:t>
            </w:r>
          </w:p>
        </w:tc>
        <w:tc>
          <w:tcPr>
            <w:tcW w:type="dxa" w:w="2880"/>
          </w:tcPr>
          <w:p>
            <w:r>
              <w:rPr>
                <w:rFonts w:ascii="Calibri" w:hAnsi="Calibri"/>
                <w:sz w:val="20"/>
              </w:rPr>
              <w:t>Within 1 minute of new incoming messages</w:t>
            </w:r>
          </w:p>
        </w:tc>
      </w:tr>
      <w:tr>
        <w:tc>
          <w:tcPr>
            <w:tcW w:type="dxa" w:w="2880"/>
          </w:tcPr>
          <w:p>
            <w:r>
              <w:rPr>
                <w:rFonts w:ascii="Calibri" w:hAnsi="Calibri"/>
                <w:sz w:val="20"/>
              </w:rPr>
              <w:t>NFR-03</w:t>
            </w:r>
          </w:p>
        </w:tc>
        <w:tc>
          <w:tcPr>
            <w:tcW w:type="dxa" w:w="2880"/>
          </w:tcPr>
          <w:p>
            <w:r>
              <w:rPr>
                <w:rFonts w:ascii="Calibri" w:hAnsi="Calibri"/>
                <w:sz w:val="20"/>
              </w:rPr>
              <w:t>Platform support</w:t>
            </w:r>
          </w:p>
        </w:tc>
        <w:tc>
          <w:tcPr>
            <w:tcW w:type="dxa" w:w="2880"/>
          </w:tcPr>
          <w:p>
            <w:r>
              <w:rPr>
                <w:rFonts w:ascii="Calibri" w:hAnsi="Calibri"/>
                <w:sz w:val="20"/>
              </w:rPr>
              <w:t>Mobile-first (iOS and Android); responsive web</w:t>
            </w:r>
          </w:p>
        </w:tc>
      </w:tr>
      <w:tr>
        <w:tc>
          <w:tcPr>
            <w:tcW w:type="dxa" w:w="2880"/>
          </w:tcPr>
          <w:p>
            <w:r>
              <w:rPr>
                <w:rFonts w:ascii="Calibri" w:hAnsi="Calibri"/>
                <w:sz w:val="20"/>
              </w:rPr>
              <w:t>NFR-04</w:t>
            </w:r>
          </w:p>
        </w:tc>
        <w:tc>
          <w:tcPr>
            <w:tcW w:type="dxa" w:w="2880"/>
          </w:tcPr>
          <w:p>
            <w:r>
              <w:rPr>
                <w:rFonts w:ascii="Calibri" w:hAnsi="Calibri"/>
                <w:sz w:val="20"/>
              </w:rPr>
              <w:t>Accessibility</w:t>
            </w:r>
          </w:p>
        </w:tc>
        <w:tc>
          <w:tcPr>
            <w:tcW w:type="dxa" w:w="2880"/>
          </w:tcPr>
          <w:p>
            <w:r>
              <w:rPr>
                <w:rFonts w:ascii="Calibri" w:hAnsi="Calibri"/>
                <w:sz w:val="20"/>
              </w:rPr>
              <w:t>WCAG 2.1 AA compliance</w:t>
            </w:r>
          </w:p>
        </w:tc>
      </w:tr>
      <w:tr>
        <w:tc>
          <w:tcPr>
            <w:tcW w:type="dxa" w:w="2880"/>
          </w:tcPr>
          <w:p>
            <w:r>
              <w:rPr>
                <w:rFonts w:ascii="Calibri" w:hAnsi="Calibri"/>
                <w:sz w:val="20"/>
              </w:rPr>
              <w:t>NFR-05</w:t>
            </w:r>
          </w:p>
        </w:tc>
        <w:tc>
          <w:tcPr>
            <w:tcW w:type="dxa" w:w="2880"/>
          </w:tcPr>
          <w:p>
            <w:r>
              <w:rPr>
                <w:rFonts w:ascii="Calibri" w:hAnsi="Calibri"/>
                <w:sz w:val="20"/>
              </w:rPr>
              <w:t>Data privacy</w:t>
            </w:r>
          </w:p>
        </w:tc>
        <w:tc>
          <w:tcPr>
            <w:tcW w:type="dxa" w:w="2880"/>
          </w:tcPr>
          <w:p>
            <w:r>
              <w:rPr>
                <w:rFonts w:ascii="Calibri" w:hAnsi="Calibri"/>
                <w:sz w:val="20"/>
              </w:rPr>
              <w:t>No customer PII used in AI model training; all processing via API (no fine-tuning on customer data)</w:t>
            </w:r>
          </w:p>
        </w:tc>
      </w:tr>
      <w:tr>
        <w:tc>
          <w:tcPr>
            <w:tcW w:type="dxa" w:w="2880"/>
          </w:tcPr>
          <w:p>
            <w:r>
              <w:rPr>
                <w:rFonts w:ascii="Calibri" w:hAnsi="Calibri"/>
                <w:sz w:val="20"/>
              </w:rPr>
              <w:t>NFR-06</w:t>
            </w:r>
          </w:p>
        </w:tc>
        <w:tc>
          <w:tcPr>
            <w:tcW w:type="dxa" w:w="2880"/>
          </w:tcPr>
          <w:p>
            <w:r>
              <w:rPr>
                <w:rFonts w:ascii="Calibri" w:hAnsi="Calibri"/>
                <w:sz w:val="20"/>
              </w:rPr>
              <w:t>Availability</w:t>
            </w:r>
          </w:p>
        </w:tc>
        <w:tc>
          <w:tcPr>
            <w:tcW w:type="dxa" w:w="2880"/>
          </w:tcPr>
          <w:p>
            <w:r>
              <w:rPr>
                <w:rFonts w:ascii="Calibri" w:hAnsi="Calibri"/>
                <w:sz w:val="20"/>
              </w:rPr>
              <w:t>99.9% uptime; graceful degradation if AI service is unavailable (inbox still functional without AI features)</w:t>
            </w:r>
          </w:p>
        </w:tc>
      </w:tr>
    </w:tbl>
    <w:p/>
    <w:p>
      <w:pPr>
        <w:pStyle w:val="Heading2"/>
      </w:pPr>
      <w:r>
        <w:t>Key Metrics</w:t>
      </w:r>
    </w:p>
    <w:p>
      <w:pPr>
        <w:pStyle w:val="Heading3"/>
      </w:pPr>
      <w:r>
        <w:t>Primary Success Metrics</w:t>
      </w:r>
    </w:p>
    <w:tbl>
      <w:tblPr>
        <w:tblStyle w:val="TableGrid"/>
        <w:tblW w:type="auto" w:w="0"/>
        <w:tblLook w:firstColumn="1" w:firstRow="1" w:lastColumn="0" w:lastRow="0" w:noHBand="0" w:noVBand="1" w:val="04A0"/>
      </w:tblPr>
      <w:tblGrid>
        <w:gridCol w:w="2880"/>
        <w:gridCol w:w="2880"/>
        <w:gridCol w:w="2880"/>
      </w:tblGrid>
      <w:tr>
        <w:tc>
          <w:tcPr>
            <w:tcW w:type="dxa" w:w="2880"/>
            <w:shd w:fill="E8F0FE"/>
          </w:tcPr>
          <w:p>
            <w:r/>
            <w:r>
              <w:rPr>
                <w:rFonts w:ascii="Calibri" w:hAnsi="Calibri"/>
                <w:b/>
                <w:sz w:val="20"/>
              </w:rPr>
              <w:t>Metric</w:t>
            </w:r>
          </w:p>
        </w:tc>
        <w:tc>
          <w:tcPr>
            <w:tcW w:type="dxa" w:w="2880"/>
            <w:shd w:fill="E8F0FE"/>
          </w:tcPr>
          <w:p>
            <w:r/>
            <w:r>
              <w:rPr>
                <w:rFonts w:ascii="Calibri" w:hAnsi="Calibri"/>
                <w:b/>
                <w:sz w:val="20"/>
              </w:rPr>
              <w:t>Definition</w:t>
            </w:r>
          </w:p>
        </w:tc>
        <w:tc>
          <w:tcPr>
            <w:tcW w:type="dxa" w:w="2880"/>
            <w:shd w:fill="E8F0FE"/>
          </w:tcPr>
          <w:p>
            <w:r/>
            <w:r>
              <w:rPr>
                <w:rFonts w:ascii="Calibri" w:hAnsi="Calibri"/>
                <w:b/>
                <w:sz w:val="20"/>
              </w:rPr>
              <w:t>Target</w:t>
            </w:r>
          </w:p>
        </w:tc>
      </w:tr>
      <w:tr>
        <w:tc>
          <w:tcPr>
            <w:tcW w:type="dxa" w:w="2880"/>
          </w:tcPr>
          <w:p>
            <w:r>
              <w:rPr>
                <w:rFonts w:ascii="Calibri" w:hAnsi="Calibri"/>
                <w:sz w:val="20"/>
              </w:rPr>
              <w:t>Days-to-payment</w:t>
            </w:r>
          </w:p>
        </w:tc>
        <w:tc>
          <w:tcPr>
            <w:tcW w:type="dxa" w:w="2880"/>
          </w:tcPr>
          <w:p>
            <w:r>
              <w:rPr>
                <w:rFonts w:ascii="Calibri" w:hAnsi="Calibri"/>
                <w:sz w:val="20"/>
              </w:rPr>
              <w:t>Avg days from invoice sent to payment received</w:t>
            </w:r>
          </w:p>
        </w:tc>
        <w:tc>
          <w:tcPr>
            <w:tcW w:type="dxa" w:w="2880"/>
          </w:tcPr>
          <w:p>
            <w:r>
              <w:rPr>
                <w:rFonts w:ascii="Calibri" w:hAnsi="Calibri"/>
                <w:sz w:val="20"/>
              </w:rPr>
              <w:t>Decrease by 20%+</w:t>
            </w:r>
          </w:p>
        </w:tc>
      </w:tr>
      <w:tr>
        <w:tc>
          <w:tcPr>
            <w:tcW w:type="dxa" w:w="2880"/>
          </w:tcPr>
          <w:p>
            <w:r>
              <w:rPr>
                <w:rFonts w:ascii="Calibri" w:hAnsi="Calibri"/>
                <w:sz w:val="20"/>
              </w:rPr>
              <w:t>Pro response rate</w:t>
            </w:r>
          </w:p>
        </w:tc>
        <w:tc>
          <w:tcPr>
            <w:tcW w:type="dxa" w:w="2880"/>
          </w:tcPr>
          <w:p>
            <w:r>
              <w:rPr>
                <w:rFonts w:ascii="Calibri" w:hAnsi="Calibri"/>
                <w:sz w:val="20"/>
              </w:rPr>
              <w:t>% of payment messages responded to within 24h</w:t>
            </w:r>
          </w:p>
        </w:tc>
        <w:tc>
          <w:tcPr>
            <w:tcW w:type="dxa" w:w="2880"/>
          </w:tcPr>
          <w:p>
            <w:r>
              <w:rPr>
                <w:rFonts w:ascii="Calibri" w:hAnsi="Calibri"/>
                <w:sz w:val="20"/>
              </w:rPr>
              <w:t>40% → 80%+</w:t>
            </w:r>
          </w:p>
        </w:tc>
      </w:tr>
      <w:tr>
        <w:tc>
          <w:tcPr>
            <w:tcW w:type="dxa" w:w="2880"/>
          </w:tcPr>
          <w:p>
            <w:r>
              <w:rPr>
                <w:rFonts w:ascii="Calibri" w:hAnsi="Calibri"/>
                <w:sz w:val="20"/>
              </w:rPr>
              <w:t>30-day collection rate</w:t>
            </w:r>
          </w:p>
        </w:tc>
        <w:tc>
          <w:tcPr>
            <w:tcW w:type="dxa" w:w="2880"/>
          </w:tcPr>
          <w:p>
            <w:r>
              <w:rPr>
                <w:rFonts w:ascii="Calibri" w:hAnsi="Calibri"/>
                <w:sz w:val="20"/>
              </w:rPr>
              <w:t>% of invoices paid within 30 days</w:t>
            </w:r>
          </w:p>
        </w:tc>
        <w:tc>
          <w:tcPr>
            <w:tcW w:type="dxa" w:w="2880"/>
          </w:tcPr>
          <w:p>
            <w:r>
              <w:rPr>
                <w:rFonts w:ascii="Calibri" w:hAnsi="Calibri"/>
                <w:sz w:val="20"/>
              </w:rPr>
              <w:t>Increase by 15%+</w:t>
            </w:r>
          </w:p>
        </w:tc>
      </w:tr>
      <w:tr>
        <w:tc>
          <w:tcPr>
            <w:tcW w:type="dxa" w:w="2880"/>
          </w:tcPr>
          <w:p>
            <w:r>
              <w:rPr>
                <w:rFonts w:ascii="Calibri" w:hAnsi="Calibri"/>
                <w:sz w:val="20"/>
              </w:rPr>
              <w:t>Draft send rate</w:t>
            </w:r>
          </w:p>
        </w:tc>
        <w:tc>
          <w:tcPr>
            <w:tcW w:type="dxa" w:w="2880"/>
          </w:tcPr>
          <w:p>
            <w:r>
              <w:rPr>
                <w:rFonts w:ascii="Calibri" w:hAnsi="Calibri"/>
                <w:sz w:val="20"/>
              </w:rPr>
              <w:t>% of AI drafts sent (as-is or edited)</w:t>
            </w:r>
          </w:p>
        </w:tc>
        <w:tc>
          <w:tcPr>
            <w:tcW w:type="dxa" w:w="2880"/>
          </w:tcPr>
          <w:p>
            <w:r>
              <w:rPr>
                <w:rFonts w:ascii="Calibri" w:hAnsi="Calibri"/>
                <w:sz w:val="20"/>
              </w:rPr>
              <w:t>&gt; 70%</w:t>
            </w:r>
          </w:p>
        </w:tc>
      </w:tr>
      <w:tr>
        <w:tc>
          <w:tcPr>
            <w:tcW w:type="dxa" w:w="2880"/>
          </w:tcPr>
          <w:p>
            <w:r>
              <w:rPr>
                <w:rFonts w:ascii="Calibri" w:hAnsi="Calibri"/>
                <w:sz w:val="20"/>
              </w:rPr>
              <w:t>Factual accuracy</w:t>
            </w:r>
          </w:p>
        </w:tc>
        <w:tc>
          <w:tcPr>
            <w:tcW w:type="dxa" w:w="2880"/>
          </w:tcPr>
          <w:p>
            <w:r>
              <w:rPr>
                <w:rFonts w:ascii="Calibri" w:hAnsi="Calibri"/>
                <w:sz w:val="20"/>
              </w:rPr>
              <w:t>% of drafts with correct financial details</w:t>
            </w:r>
          </w:p>
        </w:tc>
        <w:tc>
          <w:tcPr>
            <w:tcW w:type="dxa" w:w="2880"/>
          </w:tcPr>
          <w:p>
            <w:r>
              <w:rPr>
                <w:rFonts w:ascii="Calibri" w:hAnsi="Calibri"/>
                <w:sz w:val="20"/>
              </w:rPr>
              <w:t>100%</w:t>
            </w:r>
          </w:p>
        </w:tc>
      </w:tr>
    </w:tbl>
    <w:p/>
    <w:p>
      <w:pPr>
        <w:pStyle w:val="Heading3"/>
      </w:pPr>
      <w:r>
        <w:t>Guardrail Metrics</w:t>
      </w:r>
    </w:p>
    <w:tbl>
      <w:tblPr>
        <w:tblStyle w:val="TableGrid"/>
        <w:tblW w:type="auto" w:w="0"/>
        <w:tblLook w:firstColumn="1" w:firstRow="1" w:lastColumn="0" w:lastRow="0" w:noHBand="0" w:noVBand="1" w:val="04A0"/>
      </w:tblPr>
      <w:tblGrid>
        <w:gridCol w:w="2880"/>
        <w:gridCol w:w="2880"/>
        <w:gridCol w:w="2880"/>
      </w:tblGrid>
      <w:tr>
        <w:tc>
          <w:tcPr>
            <w:tcW w:type="dxa" w:w="2880"/>
            <w:shd w:fill="E8F0FE"/>
          </w:tcPr>
          <w:p>
            <w:r/>
            <w:r>
              <w:rPr>
                <w:rFonts w:ascii="Calibri" w:hAnsi="Calibri"/>
                <w:b/>
                <w:sz w:val="20"/>
              </w:rPr>
              <w:t>Metric</w:t>
            </w:r>
          </w:p>
        </w:tc>
        <w:tc>
          <w:tcPr>
            <w:tcW w:type="dxa" w:w="2880"/>
            <w:shd w:fill="E8F0FE"/>
          </w:tcPr>
          <w:p>
            <w:r/>
            <w:r>
              <w:rPr>
                <w:rFonts w:ascii="Calibri" w:hAnsi="Calibri"/>
                <w:b/>
                <w:sz w:val="20"/>
              </w:rPr>
              <w:t>Red Line</w:t>
            </w:r>
          </w:p>
        </w:tc>
        <w:tc>
          <w:tcPr>
            <w:tcW w:type="dxa" w:w="2880"/>
            <w:shd w:fill="E8F0FE"/>
          </w:tcPr>
          <w:p>
            <w:r/>
            <w:r>
              <w:rPr>
                <w:rFonts w:ascii="Calibri" w:hAnsi="Calibri"/>
                <w:b/>
                <w:sz w:val="20"/>
              </w:rPr>
              <w:t>Response</w:t>
            </w:r>
          </w:p>
        </w:tc>
      </w:tr>
      <w:tr>
        <w:tc>
          <w:tcPr>
            <w:tcW w:type="dxa" w:w="2880"/>
          </w:tcPr>
          <w:p>
            <w:r>
              <w:rPr>
                <w:rFonts w:ascii="Calibri" w:hAnsi="Calibri"/>
                <w:sz w:val="20"/>
              </w:rPr>
              <w:t>Per-card dismiss rate</w:t>
            </w:r>
          </w:p>
        </w:tc>
        <w:tc>
          <w:tcPr>
            <w:tcW w:type="dxa" w:w="2880"/>
          </w:tcPr>
          <w:p>
            <w:r>
              <w:rPr>
                <w:rFonts w:ascii="Calibri" w:hAnsi="Calibri"/>
                <w:sz w:val="20"/>
              </w:rPr>
              <w:t>&gt; 20%</w:t>
            </w:r>
          </w:p>
        </w:tc>
        <w:tc>
          <w:tcPr>
            <w:tcW w:type="dxa" w:w="2880"/>
          </w:tcPr>
          <w:p>
            <w:r>
              <w:rPr>
                <w:rFonts w:ascii="Calibri" w:hAnsi="Calibri"/>
                <w:sz w:val="20"/>
              </w:rPr>
              <w:t>Tighten confidence threshold; review prompt quality</w:t>
            </w:r>
          </w:p>
        </w:tc>
      </w:tr>
      <w:tr>
        <w:tc>
          <w:tcPr>
            <w:tcW w:type="dxa" w:w="2880"/>
          </w:tcPr>
          <w:p>
            <w:r>
              <w:rPr>
                <w:rFonts w:ascii="Calibri" w:hAnsi="Calibri"/>
                <w:sz w:val="20"/>
              </w:rPr>
              <w:t>Section dismiss rate</w:t>
            </w:r>
          </w:p>
        </w:tc>
        <w:tc>
          <w:tcPr>
            <w:tcW w:type="dxa" w:w="2880"/>
          </w:tcPr>
          <w:p>
            <w:r>
              <w:rPr>
                <w:rFonts w:ascii="Calibri" w:hAnsi="Calibri"/>
                <w:sz w:val="20"/>
              </w:rPr>
              <w:t>&gt; 5%</w:t>
            </w:r>
          </w:p>
        </w:tc>
        <w:tc>
          <w:tcPr>
            <w:tcW w:type="dxa" w:w="2880"/>
          </w:tcPr>
          <w:p>
            <w:r>
              <w:rPr>
                <w:rFonts w:ascii="Calibri" w:hAnsi="Calibri"/>
                <w:sz w:val="20"/>
              </w:rPr>
              <w:t>Pause rollout; qualitative research</w:t>
            </w:r>
          </w:p>
        </w:tc>
      </w:tr>
      <w:tr>
        <w:tc>
          <w:tcPr>
            <w:tcW w:type="dxa" w:w="2880"/>
          </w:tcPr>
          <w:p>
            <w:r>
              <w:rPr>
                <w:rFonts w:ascii="Calibri" w:hAnsi="Calibri"/>
                <w:sz w:val="20"/>
              </w:rPr>
              <w:t>Customer CSAT delta</w:t>
            </w:r>
          </w:p>
        </w:tc>
        <w:tc>
          <w:tcPr>
            <w:tcW w:type="dxa" w:w="2880"/>
          </w:tcPr>
          <w:p>
            <w:r>
              <w:rPr>
                <w:rFonts w:ascii="Calibri" w:hAnsi="Calibri"/>
                <w:sz w:val="20"/>
              </w:rPr>
              <w:t>Drop &gt; 5% vs. control</w:t>
            </w:r>
          </w:p>
        </w:tc>
        <w:tc>
          <w:tcPr>
            <w:tcW w:type="dxa" w:w="2880"/>
          </w:tcPr>
          <w:p>
            <w:r>
              <w:rPr>
                <w:rFonts w:ascii="Calibri" w:hAnsi="Calibri"/>
                <w:sz w:val="20"/>
              </w:rPr>
              <w:t>Pause feature; investigate</w:t>
            </w:r>
          </w:p>
        </w:tc>
      </w:tr>
      <w:tr>
        <w:tc>
          <w:tcPr>
            <w:tcW w:type="dxa" w:w="2880"/>
          </w:tcPr>
          <w:p>
            <w:r>
              <w:rPr>
                <w:rFonts w:ascii="Calibri" w:hAnsi="Calibri"/>
                <w:sz w:val="20"/>
              </w:rPr>
              <w:t>Factual errors</w:t>
            </w:r>
          </w:p>
        </w:tc>
        <w:tc>
          <w:tcPr>
            <w:tcW w:type="dxa" w:w="2880"/>
          </w:tcPr>
          <w:p>
            <w:r>
              <w:rPr>
                <w:rFonts w:ascii="Calibri" w:hAnsi="Calibri"/>
                <w:sz w:val="20"/>
              </w:rPr>
              <w:t>Any occurrence</w:t>
            </w:r>
          </w:p>
        </w:tc>
        <w:tc>
          <w:tcPr>
            <w:tcW w:type="dxa" w:w="2880"/>
          </w:tcPr>
          <w:p>
            <w:r>
              <w:rPr>
                <w:rFonts w:ascii="Calibri" w:hAnsi="Calibri"/>
                <w:sz w:val="20"/>
              </w:rPr>
              <w:t>Immediate hotfix; incident review</w:t>
            </w:r>
          </w:p>
        </w:tc>
      </w:tr>
      <w:tr>
        <w:tc>
          <w:tcPr>
            <w:tcW w:type="dxa" w:w="2880"/>
          </w:tcPr>
          <w:p>
            <w:r>
              <w:rPr>
                <w:rFonts w:ascii="Calibri" w:hAnsi="Calibri"/>
                <w:sz w:val="20"/>
              </w:rPr>
              <w:t>Pro NPS on feature</w:t>
            </w:r>
          </w:p>
        </w:tc>
        <w:tc>
          <w:tcPr>
            <w:tcW w:type="dxa" w:w="2880"/>
          </w:tcPr>
          <w:p>
            <w:r>
              <w:rPr>
                <w:rFonts w:ascii="Calibri" w:hAnsi="Calibri"/>
                <w:sz w:val="20"/>
              </w:rPr>
              <w:t>&lt; 30</w:t>
            </w:r>
          </w:p>
        </w:tc>
        <w:tc>
          <w:tcPr>
            <w:tcW w:type="dxa" w:w="2880"/>
          </w:tcPr>
          <w:p>
            <w:r>
              <w:rPr>
                <w:rFonts w:ascii="Calibri" w:hAnsi="Calibri"/>
                <w:sz w:val="20"/>
              </w:rPr>
              <w:t>Re-evaluate before expanding</w:t>
            </w:r>
          </w:p>
        </w:tc>
      </w:tr>
    </w:tbl>
    <w:p/>
    <w:p>
      <w:pPr>
        <w:pStyle w:val="Heading2"/>
      </w:pPr>
      <w:r>
        <w:t>Rollout Strategy</w:t>
      </w:r>
    </w:p>
    <w:p>
      <w:pPr>
        <w:pStyle w:val="Heading3"/>
      </w:pPr>
      <w:r>
        <w:t>Phase 0: Internal Dogfooding (2 weeks)</w:t>
      </w:r>
    </w:p>
    <w:p>
      <w:pPr>
        <w:pStyle w:val="ListBullet"/>
      </w:pPr>
      <w:r>
        <w:t>HCP product and engineering team tests with synthetic conversations.</w:t>
      </w:r>
    </w:p>
    <w:p>
      <w:pPr>
        <w:pStyle w:val="ListBullet"/>
      </w:pPr>
      <w:r>
        <w:t>Identify obvious UX issues, edge cases, and prompt failures before any customer exposure.</w:t>
      </w:r>
    </w:p>
    <w:p>
      <w:pPr>
        <w:pStyle w:val="ListBullet"/>
      </w:pPr>
      <w:r>
        <w:t>Build internal confidence and gather team feedback on draft quality.</w:t>
      </w:r>
    </w:p>
    <w:p>
      <w:pPr>
        <w:pStyle w:val="Heading3"/>
      </w:pPr>
      <w:r>
        <w:t>Phase 1a: Closed Beta (4 weeks)</w:t>
      </w:r>
    </w:p>
    <w:p>
      <w:pPr>
        <w:pStyle w:val="ListBullet"/>
      </w:pPr>
      <w:r>
        <w:t>50–100 hand-selected pros across verticals (plumbing, HVAC, electrical, cleaning, flooring).</w:t>
      </w:r>
    </w:p>
    <w:p>
      <w:pPr>
        <w:pStyle w:val="ListBullet"/>
      </w:pPr>
      <w:r>
        <w:t>Mix of solo operators and small teams to test both persona types.</w:t>
      </w:r>
    </w:p>
    <w:p>
      <w:pPr>
        <w:pStyle w:val="ListBullet"/>
      </w:pPr>
      <w:r>
        <w:t>Weekly 15-minute feedback sessions with participating pros.</w:t>
      </w:r>
    </w:p>
    <w:p>
      <w:pPr>
        <w:pStyle w:val="ListBullet"/>
      </w:pPr>
      <w:r>
        <w:t>Quality gate to proceed: draft send rate &gt; 60%, dismiss rate &lt; 25%, zero factual errors.</w:t>
      </w:r>
    </w:p>
    <w:p>
      <w:pPr>
        <w:pStyle w:val="Heading3"/>
      </w:pPr>
      <w:r>
        <w:t>Phase 1b: A/B Experiment (6–8 weeks)</w:t>
      </w:r>
    </w:p>
    <w:p>
      <w:pPr>
        <w:pStyle w:val="ListBullet"/>
      </w:pPr>
      <w:r>
        <w:t>~1,000 pros randomly assigned to treatment (AI Smart Inbox) vs. control (standard inbox).</w:t>
      </w:r>
    </w:p>
    <w:p>
      <w:pPr>
        <w:pStyle w:val="ListBullet"/>
      </w:pPr>
      <w:r>
        <w:t>Measure days-to-payment, response rate, collection rate, and pro satisfaction.</w:t>
      </w:r>
    </w:p>
    <w:p>
      <w:pPr>
        <w:pStyle w:val="ListBullet"/>
      </w:pPr>
      <w:r>
        <w:t>Statistical significance required on primary metrics before proceeding.</w:t>
      </w:r>
    </w:p>
    <w:p>
      <w:pPr>
        <w:pStyle w:val="ListBullet"/>
      </w:pPr>
      <w:r>
        <w:t>Quality gate to proceed: draft send rate &gt; 70%, dismiss rate &lt; 20%, zero factual errors, NPS &gt; 30, statistically significant improvement in days-to-payment.</w:t>
      </w:r>
    </w:p>
    <w:p>
      <w:pPr>
        <w:pStyle w:val="Heading3"/>
      </w:pPr>
      <w:r>
        <w:t>Phase 1c: General Availability</w:t>
      </w:r>
    </w:p>
    <w:p>
      <w:pPr>
        <w:pStyle w:val="ListBullet"/>
      </w:pPr>
      <w:r>
        <w:t>Gradual rollout to all HCP pros (10% → 25% → 50% → 100%).</w:t>
      </w:r>
    </w:p>
    <w:p>
      <w:pPr>
        <w:pStyle w:val="ListBullet"/>
      </w:pPr>
      <w:r>
        <w:t>Feature flag for instant kill switch if guardrails are breached.</w:t>
      </w:r>
    </w:p>
    <w:p>
      <w:pPr>
        <w:pStyle w:val="ListBullet"/>
      </w:pPr>
      <w:r>
        <w:t>Continuous monitoring of all guardrail metrics at each rollout stage.</w:t>
      </w:r>
    </w:p>
    <w:p>
      <w:pPr>
        <w:pStyle w:val="ListBullet"/>
      </w:pPr>
      <w:r>
        <w:t>Qualitative feedback collection through in-app surveys at 7 and 30 days post-enablement.</w:t>
      </w:r>
    </w:p>
    <w:p>
      <w:pPr>
        <w:pStyle w:val="Heading3"/>
      </w:pPr>
      <w:r>
        <w:t>Phase 2: Earned Autonomy (Future)</w:t>
      </w:r>
    </w:p>
    <w:p>
      <w:r>
        <w:t>Phase 2 is not on a fixed timeline. It is earned by sustained performance:</w:t>
      </w:r>
    </w:p>
    <w:p>
      <w:pPr>
        <w:pStyle w:val="ListBullet"/>
      </w:pPr>
      <w:r>
        <w:t>Prerequisites: 90+ days of sustained quality metrics at scale, explicit pro demand for more automation, zero customer complaints about AI quality.</w:t>
      </w:r>
    </w:p>
    <w:p>
      <w:pPr>
        <w:pStyle w:val="ListBullet"/>
      </w:pPr>
      <w:r>
        <w:t>Scope: enable opt-in auto-send for specific, low-risk action types (e.g., invoice summaries).</w:t>
      </w:r>
    </w:p>
    <w:p>
      <w:pPr>
        <w:pStyle w:val="ListBullet"/>
      </w:pPr>
      <w:r>
        <w:t>Each action type graduates independently based on its own track record.</w:t>
      </w:r>
    </w:p>
    <w:p>
      <w:pPr>
        <w:pStyle w:val="ListBullet"/>
      </w:pPr>
      <w:r>
        <w:t>Pros can opt in or out at any time; autonomy is always revocable.</w:t>
      </w:r>
    </w:p>
    <w:p>
      <w:pPr>
        <w:pStyle w:val="Heading3"/>
      </w:pPr>
      <w:r>
        <w:t>Phase Transition Criteria</w:t>
      </w:r>
    </w:p>
    <w:tbl>
      <w:tblPr>
        <w:tblStyle w:val="TableGrid"/>
        <w:tblW w:type="auto" w:w="0"/>
        <w:tblLook w:firstColumn="1" w:firstRow="1" w:lastColumn="0" w:lastRow="0" w:noHBand="0" w:noVBand="1" w:val="04A0"/>
      </w:tblPr>
      <w:tblGrid>
        <w:gridCol w:w="4320"/>
        <w:gridCol w:w="4320"/>
      </w:tblGrid>
      <w:tr>
        <w:tc>
          <w:tcPr>
            <w:tcW w:type="dxa" w:w="4320"/>
            <w:shd w:fill="E8F0FE"/>
          </w:tcPr>
          <w:p>
            <w:r/>
            <w:r>
              <w:rPr>
                <w:rFonts w:ascii="Calibri" w:hAnsi="Calibri"/>
                <w:b/>
                <w:sz w:val="20"/>
              </w:rPr>
              <w:t>Gate</w:t>
            </w:r>
          </w:p>
        </w:tc>
        <w:tc>
          <w:tcPr>
            <w:tcW w:type="dxa" w:w="4320"/>
            <w:shd w:fill="E8F0FE"/>
          </w:tcPr>
          <w:p>
            <w:r/>
            <w:r>
              <w:rPr>
                <w:rFonts w:ascii="Calibri" w:hAnsi="Calibri"/>
                <w:b/>
                <w:sz w:val="20"/>
              </w:rPr>
              <w:t>Criteria to Pass</w:t>
            </w:r>
          </w:p>
        </w:tc>
      </w:tr>
      <w:tr>
        <w:tc>
          <w:tcPr>
            <w:tcW w:type="dxa" w:w="4320"/>
          </w:tcPr>
          <w:p>
            <w:r>
              <w:rPr>
                <w:rFonts w:ascii="Calibri" w:hAnsi="Calibri"/>
                <w:sz w:val="20"/>
              </w:rPr>
              <w:t>Internal → Beta</w:t>
            </w:r>
          </w:p>
        </w:tc>
        <w:tc>
          <w:tcPr>
            <w:tcW w:type="dxa" w:w="4320"/>
          </w:tcPr>
          <w:p>
            <w:r>
              <w:rPr>
                <w:rFonts w:ascii="Calibri" w:hAnsi="Calibri"/>
                <w:sz w:val="20"/>
              </w:rPr>
              <w:t>No critical bugs; team consensus on draft quality</w:t>
            </w:r>
          </w:p>
        </w:tc>
      </w:tr>
      <w:tr>
        <w:tc>
          <w:tcPr>
            <w:tcW w:type="dxa" w:w="4320"/>
          </w:tcPr>
          <w:p>
            <w:r>
              <w:rPr>
                <w:rFonts w:ascii="Calibri" w:hAnsi="Calibri"/>
                <w:sz w:val="20"/>
              </w:rPr>
              <w:t>Beta → A/B</w:t>
            </w:r>
          </w:p>
        </w:tc>
        <w:tc>
          <w:tcPr>
            <w:tcW w:type="dxa" w:w="4320"/>
          </w:tcPr>
          <w:p>
            <w:r>
              <w:rPr>
                <w:rFonts w:ascii="Calibri" w:hAnsi="Calibri"/>
                <w:sz w:val="20"/>
              </w:rPr>
              <w:t>Draft send rate &gt; 60%; dismiss rate &lt; 25%; zero factual errors; qualitative feedback positive (NPS &gt; 20)</w:t>
            </w:r>
          </w:p>
        </w:tc>
      </w:tr>
      <w:tr>
        <w:tc>
          <w:tcPr>
            <w:tcW w:type="dxa" w:w="4320"/>
          </w:tcPr>
          <w:p>
            <w:r>
              <w:rPr>
                <w:rFonts w:ascii="Calibri" w:hAnsi="Calibri"/>
                <w:sz w:val="20"/>
              </w:rPr>
              <w:t>A/B → GA</w:t>
            </w:r>
          </w:p>
        </w:tc>
        <w:tc>
          <w:tcPr>
            <w:tcW w:type="dxa" w:w="4320"/>
          </w:tcPr>
          <w:p>
            <w:r>
              <w:rPr>
                <w:rFonts w:ascii="Calibri" w:hAnsi="Calibri"/>
                <w:sz w:val="20"/>
              </w:rPr>
              <w:t>Statistically significant improvement in days-to-payment; draft send rate &gt; 70%; dismiss rate &lt; 20%; NPS &gt; 30; zero factual errors</w:t>
            </w:r>
          </w:p>
        </w:tc>
      </w:tr>
      <w:tr>
        <w:tc>
          <w:tcPr>
            <w:tcW w:type="dxa" w:w="4320"/>
          </w:tcPr>
          <w:p>
            <w:r>
              <w:rPr>
                <w:rFonts w:ascii="Calibri" w:hAnsi="Calibri"/>
                <w:sz w:val="20"/>
              </w:rPr>
              <w:t>Phase 1 → Phase 2</w:t>
            </w:r>
          </w:p>
        </w:tc>
        <w:tc>
          <w:tcPr>
            <w:tcW w:type="dxa" w:w="4320"/>
          </w:tcPr>
          <w:p>
            <w:r>
              <w:rPr>
                <w:rFonts w:ascii="Calibri" w:hAnsi="Calibri"/>
                <w:sz w:val="20"/>
              </w:rPr>
              <w:t>90+ days sustained quality at scale; explicit pro demand for automation; zero customer complaints</w:t>
            </w:r>
          </w:p>
        </w:tc>
      </w:tr>
    </w:tbl>
    <w:p/>
    <w:p>
      <w:r>
        <w:br w:type="page"/>
      </w:r>
    </w:p>
    <w:p>
      <w:pPr>
        <w:pStyle w:val="Heading1"/>
      </w:pPr>
      <w:r>
        <w:t>6. Backend Architecture</w:t>
      </w:r>
    </w:p>
    <w:p>
      <w:pPr>
        <w:pStyle w:val="Heading2"/>
      </w:pPr>
      <w:r>
        <w:t>How the AI Pipeline Works</w:t>
      </w:r>
    </w:p>
    <w:p>
      <w:r>
        <w:t>This section documents the agentic AI system that powers the Smart Inbox. The backend uses Claude (Anthropic’s frontier model) as the reasoning engine, orchestrated through a structured tool-use pattern that ensures every AI output is typed, grounded in real data, and traceable to specific conversation context.</w:t>
      </w:r>
    </w:p>
    <w:p>
      <w:r>
        <w:rPr>
          <w:b/>
        </w:rPr>
        <w:t xml:space="preserve">Three design principles </w:t>
      </w:r>
      <w:r>
        <w:t>emerged from the trust requirements in Section 3 and shaped every backend decision:</w:t>
      </w:r>
    </w:p>
    <w:p>
      <w:pPr>
        <w:pStyle w:val="ListBullet"/>
      </w:pPr>
      <w:r>
        <w:rPr>
          <w:b/>
        </w:rPr>
        <w:t xml:space="preserve">Grounded in data. </w:t>
      </w:r>
      <w:r>
        <w:t>Every AI output references specific invoice amounts, message IDs, and FAQ entries — never hallucinated facts.</w:t>
      </w:r>
    </w:p>
    <w:p>
      <w:pPr>
        <w:pStyle w:val="ListBullet"/>
      </w:pPr>
      <w:r>
        <w:rPr>
          <w:b/>
        </w:rPr>
        <w:t xml:space="preserve">Structured outputs. </w:t>
      </w:r>
      <w:r>
        <w:t>Claude returns typed JSON via tool_use, not free-form text. The app can always parse the result reliably.</w:t>
      </w:r>
    </w:p>
    <w:p>
      <w:pPr>
        <w:pStyle w:val="ListBullet"/>
      </w:pPr>
      <w:r>
        <w:rPr>
          <w:b/>
        </w:rPr>
        <w:t xml:space="preserve">Graceful degradation. </w:t>
      </w:r>
      <w:r>
        <w:t>If the AI is unavailable, keyword-based fallbacks keep the inbox functional. No blank screens or errors are ever shown to the pro.</w:t>
      </w:r>
    </w:p>
    <w:p>
      <w:pPr>
        <w:pStyle w:val="Heading2"/>
      </w:pPr>
      <w:r>
        <w:t>System Overview</w:t>
      </w:r>
    </w:p>
    <w:p>
      <w:r>
        <w:t>The system is a three-layer stack. The frontend renders the inbox UI inside an iPhone mockup. An Express.js server acts as the orchestration layer — it receives requests, formats prompts with memory context, and calls the Claude API. Claude performs all reasoning and returns structured results via tool_use.</w:t>
      </w:r>
    </w:p>
    <w:tbl>
      <w:tblPr>
        <w:tblStyle w:val="TableGrid"/>
        <w:tblW w:type="auto" w:w="0"/>
        <w:tblLook w:firstColumn="1" w:firstRow="1" w:lastColumn="0" w:lastRow="0" w:noHBand="0" w:noVBand="1" w:val="04A0"/>
      </w:tblPr>
      <w:tblGrid>
        <w:gridCol w:w="3120"/>
        <w:gridCol w:w="3120"/>
        <w:gridCol w:w="3120"/>
      </w:tblGrid>
      <w:tr>
        <w:tc>
          <w:tcPr>
            <w:tcW w:type="dxa" w:w="3120"/>
            <w:shd w:fill="E8F0FE"/>
          </w:tcPr>
          <w:p>
            <w:r/>
            <w:r>
              <w:t>Layer</w:t>
            </w:r>
          </w:p>
        </w:tc>
        <w:tc>
          <w:tcPr>
            <w:tcW w:type="dxa" w:w="3120"/>
            <w:shd w:fill="E8F0FE"/>
          </w:tcPr>
          <w:p>
            <w:r/>
            <w:r>
              <w:t>Technology</w:t>
            </w:r>
          </w:p>
        </w:tc>
        <w:tc>
          <w:tcPr>
            <w:tcW w:type="dxa" w:w="3120"/>
            <w:shd w:fill="E8F0FE"/>
          </w:tcPr>
          <w:p>
            <w:r/>
            <w:r>
              <w:t>Responsibility</w:t>
            </w:r>
          </w:p>
        </w:tc>
      </w:tr>
      <w:tr>
        <w:tc>
          <w:tcPr>
            <w:tcW w:type="dxa" w:w="3120"/>
          </w:tcPr>
          <w:p>
            <w:r/>
            <w:r>
              <w:rPr>
                <w:rFonts w:ascii="Calibri" w:hAnsi="Calibri"/>
                <w:sz w:val="20"/>
              </w:rPr>
              <w:t>Frontend</w:t>
            </w:r>
          </w:p>
        </w:tc>
        <w:tc>
          <w:tcPr>
            <w:tcW w:type="dxa" w:w="3120"/>
          </w:tcPr>
          <w:p>
            <w:r/>
            <w:r>
              <w:rPr>
                <w:rFonts w:ascii="Calibri" w:hAnsi="Calibri"/>
                <w:sz w:val="20"/>
              </w:rPr>
              <w:t>React + Vite</w:t>
            </w:r>
          </w:p>
        </w:tc>
        <w:tc>
          <w:tcPr>
            <w:tcW w:type="dxa" w:w="3120"/>
          </w:tcPr>
          <w:p>
            <w:r/>
            <w:r>
              <w:rPr>
                <w:rFonts w:ascii="Calibri" w:hAnsi="Calibri"/>
                <w:sz w:val="20"/>
              </w:rPr>
              <w:t>Renders inbox, conversations, action cards, and AI drafts. Sends customer messages to the pipeline endpoint.</w:t>
            </w:r>
          </w:p>
        </w:tc>
      </w:tr>
      <w:tr>
        <w:tc>
          <w:tcPr>
            <w:tcW w:type="dxa" w:w="3120"/>
          </w:tcPr>
          <w:p>
            <w:r/>
            <w:r>
              <w:rPr>
                <w:rFonts w:ascii="Calibri" w:hAnsi="Calibri"/>
                <w:sz w:val="20"/>
              </w:rPr>
              <w:t>API Server</w:t>
            </w:r>
          </w:p>
        </w:tc>
        <w:tc>
          <w:tcPr>
            <w:tcW w:type="dxa" w:w="3120"/>
          </w:tcPr>
          <w:p>
            <w:r/>
            <w:r>
              <w:rPr>
                <w:rFonts w:ascii="Calibri" w:hAnsi="Calibri"/>
                <w:sz w:val="20"/>
              </w:rPr>
              <w:t>Express.js (Node)</w:t>
            </w:r>
          </w:p>
        </w:tc>
        <w:tc>
          <w:tcPr>
            <w:tcW w:type="dxa" w:w="3120"/>
          </w:tcPr>
          <w:p>
            <w:r/>
            <w:r>
              <w:rPr>
                <w:rFonts w:ascii="Calibri" w:hAnsi="Calibri"/>
                <w:sz w:val="20"/>
              </w:rPr>
              <w:t>Two endpoints: /api/pipeline (evaluate a message) and /api/draft (generate a reply). Formats prompts, injects memory context, calls Claude, returns structured results.</w:t>
            </w:r>
          </w:p>
        </w:tc>
      </w:tr>
      <w:tr>
        <w:tc>
          <w:tcPr>
            <w:tcW w:type="dxa" w:w="3120"/>
          </w:tcPr>
          <w:p>
            <w:r/>
            <w:r>
              <w:rPr>
                <w:rFonts w:ascii="Calibri" w:hAnsi="Calibri"/>
                <w:sz w:val="20"/>
              </w:rPr>
              <w:t>AI Engine</w:t>
            </w:r>
          </w:p>
        </w:tc>
        <w:tc>
          <w:tcPr>
            <w:tcW w:type="dxa" w:w="3120"/>
          </w:tcPr>
          <w:p>
            <w:r/>
            <w:r>
              <w:rPr>
                <w:rFonts w:ascii="Calibri" w:hAnsi="Calibri"/>
                <w:sz w:val="20"/>
              </w:rPr>
              <w:t>Claude Opus 4.6</w:t>
            </w:r>
          </w:p>
        </w:tc>
        <w:tc>
          <w:tcPr>
            <w:tcW w:type="dxa" w:w="3120"/>
          </w:tcPr>
          <w:p>
            <w:r/>
            <w:r>
              <w:rPr>
                <w:rFonts w:ascii="Calibri" w:hAnsi="Calibri"/>
                <w:sz w:val="20"/>
              </w:rPr>
              <w:t>Evaluates messages, generates drafts, updates customer memory, and generates FAQ. All outputs use forced tool_use with typed schemas.</w:t>
            </w:r>
          </w:p>
        </w:tc>
      </w:tr>
    </w:tbl>
    <w:p>
      <w:pPr>
        <w:pStyle w:val="Heading2"/>
      </w:pPr>
      <w:r>
        <w:t>The Agentic Pipeline</w:t>
      </w:r>
    </w:p>
    <w:p>
      <w:r>
        <w:t>When a customer sends a message, the system runs a two-stage pipeline. Each stage is a separate Claude call with its own system prompt, memory context, and structured output schema.</w:t>
      </w:r>
    </w:p>
    <w:p>
      <w:r>
        <w:t>The end-to-end flow:</w:t>
      </w:r>
    </w:p>
    <w:p>
      <w:pPr>
        <w:jc w:val="center"/>
      </w:pPr>
      <w:r>
        <w:rPr>
          <w:rFonts w:ascii="Calibri" w:hAnsi="Calibri"/>
          <w:b/>
          <w:sz w:val="22"/>
        </w:rPr>
        <w:t>Customer Message  →  Evaluate (Stage 1)  →  Action Card?  →  Pro Taps "AI Draft"  →  Generate Draft (Stage 2)  →  Pro Reviews &amp; Sends</w:t>
      </w:r>
    </w:p>
    <w:p/>
    <w:p>
      <w:pPr>
        <w:pStyle w:val="Heading3"/>
      </w:pPr>
      <w:r>
        <w:t>Stage 1: Message Evaluation</w:t>
      </w:r>
    </w:p>
    <w:p>
      <w:r>
        <w:t>When a customer message arrives, the frontend sends the full conversation to /api/pipeline. The server constructs a prompt containing three context inputs and calls Claude with the evaluation_result tool schema:</w:t>
      </w:r>
    </w:p>
    <w:tbl>
      <w:tblPr>
        <w:tblStyle w:val="TableGrid"/>
        <w:tblW w:type="auto" w:w="0"/>
        <w:tblLook w:firstColumn="1" w:firstRow="1" w:lastColumn="0" w:lastRow="0" w:noHBand="0" w:noVBand="1" w:val="04A0"/>
      </w:tblPr>
      <w:tblGrid>
        <w:gridCol w:w="3120"/>
        <w:gridCol w:w="3120"/>
        <w:gridCol w:w="3120"/>
      </w:tblGrid>
      <w:tr>
        <w:tc>
          <w:tcPr>
            <w:tcW w:type="dxa" w:w="3120"/>
            <w:shd w:fill="E8F0FE"/>
          </w:tcPr>
          <w:p>
            <w:r/>
            <w:r>
              <w:t>Input</w:t>
            </w:r>
          </w:p>
        </w:tc>
        <w:tc>
          <w:tcPr>
            <w:tcW w:type="dxa" w:w="3120"/>
            <w:shd w:fill="E8F0FE"/>
          </w:tcPr>
          <w:p>
            <w:r/>
            <w:r>
              <w:t>Contents</w:t>
            </w:r>
          </w:p>
        </w:tc>
        <w:tc>
          <w:tcPr>
            <w:tcW w:type="dxa" w:w="3120"/>
            <w:shd w:fill="E8F0FE"/>
          </w:tcPr>
          <w:p>
            <w:r/>
            <w:r>
              <w:t>Purpose</w:t>
            </w:r>
          </w:p>
        </w:tc>
      </w:tr>
      <w:tr>
        <w:tc>
          <w:tcPr>
            <w:tcW w:type="dxa" w:w="3120"/>
          </w:tcPr>
          <w:p>
            <w:r/>
            <w:r>
              <w:rPr>
                <w:rFonts w:ascii="Calibri" w:hAnsi="Calibri"/>
                <w:sz w:val="20"/>
              </w:rPr>
              <w:t>Pro Memory</w:t>
            </w:r>
          </w:p>
        </w:tc>
        <w:tc>
          <w:tcPr>
            <w:tcW w:type="dxa" w:w="3120"/>
          </w:tcPr>
          <w:p>
            <w:r/>
            <w:r>
              <w:rPr>
                <w:rFonts w:ascii="Calibri" w:hAnsi="Calibri"/>
                <w:sz w:val="20"/>
              </w:rPr>
              <w:t>Business FAQ, pricing table, team members, service area, policies</w:t>
            </w:r>
          </w:p>
        </w:tc>
        <w:tc>
          <w:tcPr>
            <w:tcW w:type="dxa" w:w="3120"/>
          </w:tcPr>
          <w:p>
            <w:r/>
            <w:r>
              <w:rPr>
                <w:rFonts w:ascii="Calibri" w:hAnsi="Calibri"/>
                <w:sz w:val="20"/>
              </w:rPr>
              <w:t>Gives Claude the domain knowledge to answer customer questions accurately (e.g., what a float charge is, standard pricing ranges).</w:t>
            </w:r>
          </w:p>
        </w:tc>
      </w:tr>
      <w:tr>
        <w:tc>
          <w:tcPr>
            <w:tcW w:type="dxa" w:w="3120"/>
          </w:tcPr>
          <w:p>
            <w:r/>
            <w:r>
              <w:rPr>
                <w:rFonts w:ascii="Calibri" w:hAnsi="Calibri"/>
                <w:sz w:val="20"/>
              </w:rPr>
              <w:t>Conversation History</w:t>
            </w:r>
          </w:p>
        </w:tc>
        <w:tc>
          <w:tcPr>
            <w:tcW w:type="dxa" w:w="3120"/>
          </w:tcPr>
          <w:p>
            <w:r/>
            <w:r>
              <w:rPr>
                <w:rFonts w:ascii="Calibri" w:hAnsi="Calibri"/>
                <w:sz w:val="20"/>
              </w:rPr>
              <w:t>Full message thread with timestamps, sender labels, and message IDs</w:t>
            </w:r>
          </w:p>
        </w:tc>
        <w:tc>
          <w:tcPr>
            <w:tcW w:type="dxa" w:w="3120"/>
          </w:tcPr>
          <w:p>
            <w:r/>
            <w:r>
              <w:rPr>
                <w:rFonts w:ascii="Calibri" w:hAnsi="Calibri"/>
                <w:sz w:val="20"/>
              </w:rPr>
              <w:t>Claude sees the entire conversation arc — not just the latest message — so it can detect patterns like payment promises or unanswered questions.</w:t>
            </w:r>
          </w:p>
        </w:tc>
      </w:tr>
      <w:tr>
        <w:tc>
          <w:tcPr>
            <w:tcW w:type="dxa" w:w="3120"/>
          </w:tcPr>
          <w:p>
            <w:r/>
            <w:r>
              <w:rPr>
                <w:rFonts w:ascii="Calibri" w:hAnsi="Calibri"/>
                <w:sz w:val="20"/>
              </w:rPr>
              <w:t>Customer Memory</w:t>
            </w:r>
          </w:p>
        </w:tc>
        <w:tc>
          <w:tcPr>
            <w:tcW w:type="dxa" w:w="3120"/>
          </w:tcPr>
          <w:p>
            <w:r/>
            <w:r>
              <w:rPr>
                <w:rFonts w:ascii="Calibri" w:hAnsi="Calibri"/>
                <w:sz w:val="20"/>
              </w:rPr>
              <w:t>Per-customer markdown notes: location, job history, preferences, relationship notes</w:t>
            </w:r>
          </w:p>
        </w:tc>
        <w:tc>
          <w:tcPr>
            <w:tcW w:type="dxa" w:w="3120"/>
          </w:tcPr>
          <w:p>
            <w:r/>
            <w:r>
              <w:rPr>
                <w:rFonts w:ascii="Calibri" w:hAnsi="Calibri"/>
                <w:sz w:val="20"/>
              </w:rPr>
              <w:t>Allows Claude to personalize its assessment. A repeat customer with a history of on-time payments is handled differently than a first-time customer disputing a charge.</w:t>
            </w:r>
          </w:p>
        </w:tc>
      </w:tr>
    </w:tbl>
    <w:p>
      <w:r>
        <w:t>Claude is forced to return a structured evaluation_result via tool_use. The result includes:</w:t>
      </w:r>
    </w:p>
    <w:p>
      <w:pPr>
        <w:pStyle w:val="ListBullet"/>
      </w:pPr>
      <w:r>
        <w:rPr>
          <w:b/>
        </w:rPr>
        <w:t xml:space="preserve">shouldCreateAction </w:t>
      </w:r>
      <w:r>
        <w:t>— boolean. Whether this message warrants a new action card in the inbox.</w:t>
      </w:r>
    </w:p>
    <w:p>
      <w:pPr>
        <w:pStyle w:val="ListBullet"/>
      </w:pPr>
      <w:r>
        <w:rPr>
          <w:b/>
        </w:rPr>
        <w:t xml:space="preserve">actionType </w:t>
      </w:r>
      <w:r>
        <w:t>— one of: invoice_question, invoice_summary, payment_followup, payment_plan, invoice_request, or none.</w:t>
      </w:r>
    </w:p>
    <w:p>
      <w:pPr>
        <w:pStyle w:val="ListBullet"/>
      </w:pPr>
      <w:r>
        <w:rPr>
          <w:b/>
        </w:rPr>
        <w:t xml:space="preserve">actionPriority </w:t>
      </w:r>
      <w:r>
        <w:t>— high, medium, or low. High = customer upset or payment overdue. Low = proactive opportunities like invoice summaries.</w:t>
      </w:r>
    </w:p>
    <w:p>
      <w:pPr>
        <w:pStyle w:val="ListBullet"/>
      </w:pPr>
      <w:r>
        <w:rPr>
          <w:b/>
        </w:rPr>
        <w:t xml:space="preserve">hasSufficientContext </w:t>
      </w:r>
      <w:r>
        <w:t>— boolean. Whether there is enough context to generate a confident AI draft. If false, the action card appears but the "AI Draft" button is disabled.</w:t>
      </w:r>
    </w:p>
    <w:p>
      <w:pPr>
        <w:pStyle w:val="ListBullet"/>
      </w:pPr>
      <w:r>
        <w:rPr>
          <w:b/>
        </w:rPr>
        <w:t xml:space="preserve">customerMemoryUpdate </w:t>
      </w:r>
      <w:r>
        <w:t>— updated markdown for the customer’s memory file, or empty string if no new information was revealed.</w:t>
      </w:r>
    </w:p>
    <w:p>
      <w:pPr>
        <w:pStyle w:val="ListBullet"/>
      </w:pPr>
      <w:r>
        <w:rPr>
          <w:b/>
        </w:rPr>
        <w:t xml:space="preserve">reasoning </w:t>
      </w:r>
      <w:r>
        <w:t>— 1–2 sentences explaining the decision, shown in the reasoning modal.</w:t>
      </w:r>
    </w:p>
    <w:p>
      <w:r>
        <w:t>If shouldCreateAction is true, the frontend creates an action card in the inbox carousel. If false, the message is treated as routine and any existing action for that conversation is cleared.</w:t>
      </w:r>
    </w:p>
    <w:p>
      <w:pPr>
        <w:pStyle w:val="Heading3"/>
      </w:pPr>
      <w:r>
        <w:t>Stage 2: Draft Generation</w:t>
      </w:r>
    </w:p>
    <w:p>
      <w:r>
        <w:t>When the pro taps "AI Draft" on an action card, the frontend calls /api/draft. The server selects a specialized system prompt based on the action type and calls Claude with the draft_result tool schema:</w:t>
      </w:r>
    </w:p>
    <w:tbl>
      <w:tblPr>
        <w:tblStyle w:val="TableGrid"/>
        <w:tblW w:type="auto" w:w="0"/>
        <w:tblLook w:firstColumn="1" w:firstRow="1" w:lastColumn="0" w:lastRow="0" w:noHBand="0" w:noVBand="1" w:val="04A0"/>
      </w:tblPr>
      <w:tblGrid>
        <w:gridCol w:w="3120"/>
        <w:gridCol w:w="3120"/>
        <w:gridCol w:w="3120"/>
      </w:tblGrid>
      <w:tr>
        <w:tc>
          <w:tcPr>
            <w:tcW w:type="dxa" w:w="3120"/>
            <w:shd w:fill="E8F0FE"/>
          </w:tcPr>
          <w:p>
            <w:r/>
            <w:r>
              <w:t>Input</w:t>
            </w:r>
          </w:p>
        </w:tc>
        <w:tc>
          <w:tcPr>
            <w:tcW w:type="dxa" w:w="3120"/>
            <w:shd w:fill="E8F0FE"/>
          </w:tcPr>
          <w:p>
            <w:r/>
            <w:r>
              <w:t>Contents</w:t>
            </w:r>
          </w:p>
        </w:tc>
        <w:tc>
          <w:tcPr>
            <w:tcW w:type="dxa" w:w="3120"/>
            <w:shd w:fill="E8F0FE"/>
          </w:tcPr>
          <w:p>
            <w:r/>
            <w:r>
              <w:t>Purpose</w:t>
            </w:r>
          </w:p>
        </w:tc>
      </w:tr>
      <w:tr>
        <w:tc>
          <w:tcPr>
            <w:tcW w:type="dxa" w:w="3120"/>
          </w:tcPr>
          <w:p>
            <w:r/>
            <w:r>
              <w:rPr>
                <w:rFonts w:ascii="Calibri" w:hAnsi="Calibri"/>
                <w:sz w:val="20"/>
              </w:rPr>
              <w:t>Action-Type Prompt</w:t>
            </w:r>
          </w:p>
        </w:tc>
        <w:tc>
          <w:tcPr>
            <w:tcW w:type="dxa" w:w="3120"/>
          </w:tcPr>
          <w:p>
            <w:r/>
            <w:r>
              <w:rPr>
                <w:rFonts w:ascii="Calibri" w:hAnsi="Calibri"/>
                <w:sz w:val="20"/>
              </w:rPr>
              <w:t>One of four specialized system prompts (invoice_question, invoice_summary, payment_followup, payment_plan)</w:t>
            </w:r>
          </w:p>
        </w:tc>
        <w:tc>
          <w:tcPr>
            <w:tcW w:type="dxa" w:w="3120"/>
          </w:tcPr>
          <w:p>
            <w:r/>
            <w:r>
              <w:rPr>
                <w:rFonts w:ascii="Calibri" w:hAnsi="Calibri"/>
                <w:sz w:val="20"/>
              </w:rPr>
              <w:t>Each prompt has tailored instructions: invoice_question drafts explain charges; payment_followup drafts reference the customer’s own words.</w:t>
            </w:r>
          </w:p>
        </w:tc>
      </w:tr>
      <w:tr>
        <w:tc>
          <w:tcPr>
            <w:tcW w:type="dxa" w:w="3120"/>
          </w:tcPr>
          <w:p>
            <w:r/>
            <w:r>
              <w:rPr>
                <w:rFonts w:ascii="Calibri" w:hAnsi="Calibri"/>
                <w:sz w:val="20"/>
              </w:rPr>
              <w:t>Invoice Details</w:t>
            </w:r>
          </w:p>
        </w:tc>
        <w:tc>
          <w:tcPr>
            <w:tcW w:type="dxa" w:w="3120"/>
          </w:tcPr>
          <w:p>
            <w:r/>
            <w:r>
              <w:rPr>
                <w:rFonts w:ascii="Calibri" w:hAnsi="Calibri"/>
                <w:sz w:val="20"/>
              </w:rPr>
              <w:t>Structured data: line items, amounts, status, due date, invoice number</w:t>
            </w:r>
          </w:p>
        </w:tc>
        <w:tc>
          <w:tcPr>
            <w:tcW w:type="dxa" w:w="3120"/>
          </w:tcPr>
          <w:p>
            <w:r/>
            <w:r>
              <w:rPr>
                <w:rFonts w:ascii="Calibri" w:hAnsi="Calibri"/>
                <w:sz w:val="20"/>
              </w:rPr>
              <w:t>Ensures factual accuracy. Claude references real dollar amounts and descriptions, never invents figures.</w:t>
            </w:r>
          </w:p>
        </w:tc>
      </w:tr>
      <w:tr>
        <w:tc>
          <w:tcPr>
            <w:tcW w:type="dxa" w:w="3120"/>
          </w:tcPr>
          <w:p>
            <w:r/>
            <w:r>
              <w:rPr>
                <w:rFonts w:ascii="Calibri" w:hAnsi="Calibri"/>
                <w:sz w:val="20"/>
              </w:rPr>
              <w:t>Combined Memory</w:t>
            </w:r>
          </w:p>
        </w:tc>
        <w:tc>
          <w:tcPr>
            <w:tcW w:type="dxa" w:w="3120"/>
          </w:tcPr>
          <w:p>
            <w:r/>
            <w:r>
              <w:rPr>
                <w:rFonts w:ascii="Calibri" w:hAnsi="Calibri"/>
                <w:sz w:val="20"/>
              </w:rPr>
              <w:t>Pro Memory (with FAQ) + Customer Memory merged into the prompt</w:t>
            </w:r>
          </w:p>
        </w:tc>
        <w:tc>
          <w:tcPr>
            <w:tcW w:type="dxa" w:w="3120"/>
          </w:tcPr>
          <w:p>
            <w:r/>
            <w:r>
              <w:rPr>
                <w:rFonts w:ascii="Calibri" w:hAnsi="Calibri"/>
                <w:sz w:val="20"/>
              </w:rPr>
              <w:t>The draft benefits from the full knowledge base — FAQ explanations, pricing context, and customer-specific history.</w:t>
            </w:r>
          </w:p>
        </w:tc>
      </w:tr>
    </w:tbl>
    <w:p>
      <w:r>
        <w:t>Claude returns a structured draft_result containing:</w:t>
      </w:r>
    </w:p>
    <w:p>
      <w:pPr>
        <w:pStyle w:val="ListBullet"/>
      </w:pPr>
      <w:r>
        <w:rPr>
          <w:b/>
        </w:rPr>
        <w:t xml:space="preserve">draft </w:t>
      </w:r>
      <w:r>
        <w:t>— the message text, 2–5 sentences, conversational texting tone, signed "– Sandro."</w:t>
      </w:r>
    </w:p>
    <w:p>
      <w:pPr>
        <w:pStyle w:val="ListBullet"/>
      </w:pPr>
      <w:r>
        <w:rPr>
          <w:b/>
        </w:rPr>
        <w:t xml:space="preserve">reasoning </w:t>
      </w:r>
      <w:r>
        <w:t>— why this response is appropriate, shown in the reasoning modal.</w:t>
      </w:r>
    </w:p>
    <w:p>
      <w:pPr>
        <w:pStyle w:val="ListBullet"/>
      </w:pPr>
      <w:r>
        <w:rPr>
          <w:b/>
        </w:rPr>
        <w:t xml:space="preserve">sourceMessageIds </w:t>
      </w:r>
      <w:r>
        <w:t>— IDs of the customer messages that triggered the action. Resolved to actual message text in the "Based on these messages" panel.</w:t>
      </w:r>
    </w:p>
    <w:p>
      <w:pPr>
        <w:pStyle w:val="ListBullet"/>
      </w:pPr>
      <w:r>
        <w:rPr>
          <w:b/>
        </w:rPr>
        <w:t xml:space="preserve">memorySources </w:t>
      </w:r>
      <w:r>
        <w:t>— FAQ entries or memory facts that informed the draft, with source labels (e.g., "FAQ: What is a float charge?").</w:t>
      </w:r>
    </w:p>
    <w:p>
      <w:pPr>
        <w:pStyle w:val="ListBullet"/>
      </w:pPr>
      <w:r>
        <w:rPr>
          <w:b/>
        </w:rPr>
        <w:t xml:space="preserve">confidence </w:t>
      </w:r>
      <w:r>
        <w:t>— a score between 0.0 and 1.0, displayed as a bar in the reasoning modal.</w:t>
      </w:r>
    </w:p>
    <w:p>
      <w:pPr>
        <w:pStyle w:val="Heading2"/>
      </w:pPr>
      <w:r>
        <w:t>The Memory System</w:t>
      </w:r>
    </w:p>
    <w:p>
      <w:r>
        <w:t>The pipeline uses a two-tier memory system that gives Claude the context it needs to generate accurate, personalized responses. This is what makes the system agentic — it builds and maintains its own understanding of each customer relationship over time, rather than treating every message in isolation.</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fill="E8F0FE"/>
          </w:tcPr>
          <w:p>
            <w:r/>
            <w:r>
              <w:t>Memory Tier</w:t>
            </w:r>
          </w:p>
        </w:tc>
        <w:tc>
          <w:tcPr>
            <w:tcW w:type="dxa" w:w="2340"/>
            <w:shd w:fill="E8F0FE"/>
          </w:tcPr>
          <w:p>
            <w:r/>
            <w:r>
              <w:t>Scope</w:t>
            </w:r>
          </w:p>
        </w:tc>
        <w:tc>
          <w:tcPr>
            <w:tcW w:type="dxa" w:w="2340"/>
            <w:shd w:fill="E8F0FE"/>
          </w:tcPr>
          <w:p>
            <w:r/>
            <w:r>
              <w:t>Contents</w:t>
            </w:r>
          </w:p>
        </w:tc>
        <w:tc>
          <w:tcPr>
            <w:tcW w:type="dxa" w:w="2340"/>
            <w:shd w:fill="E8F0FE"/>
          </w:tcPr>
          <w:p>
            <w:r/>
            <w:r>
              <w:t>How It Evolves</w:t>
            </w:r>
          </w:p>
        </w:tc>
      </w:tr>
      <w:tr>
        <w:tc>
          <w:tcPr>
            <w:tcW w:type="dxa" w:w="2340"/>
          </w:tcPr>
          <w:p>
            <w:r/>
            <w:r>
              <w:rPr>
                <w:rFonts w:ascii="Calibri" w:hAnsi="Calibri"/>
                <w:sz w:val="20"/>
              </w:rPr>
              <w:t>Pro Memory</w:t>
            </w:r>
          </w:p>
        </w:tc>
        <w:tc>
          <w:tcPr>
            <w:tcW w:type="dxa" w:w="2340"/>
          </w:tcPr>
          <w:p>
            <w:r/>
            <w:r>
              <w:rPr>
                <w:rFonts w:ascii="Calibri" w:hAnsi="Calibri"/>
                <w:sz w:val="20"/>
              </w:rPr>
              <w:t>Shared across all conversations</w:t>
            </w:r>
          </w:p>
        </w:tc>
        <w:tc>
          <w:tcPr>
            <w:tcW w:type="dxa" w:w="2340"/>
          </w:tcPr>
          <w:p>
            <w:r/>
            <w:r>
              <w:rPr>
                <w:rFonts w:ascii="Calibri" w:hAnsi="Calibri"/>
                <w:sz w:val="20"/>
              </w:rPr>
              <w:t>Team members and roles; service area (Lee, Collier, Charlotte County); pricing table (LVP, hardwood, tile, etc.); standard policies (deposits, warranty, scheduling); FAQ entries; business hours</w:t>
            </w:r>
          </w:p>
        </w:tc>
        <w:tc>
          <w:tcPr>
            <w:tcW w:type="dxa" w:w="2340"/>
          </w:tcPr>
          <w:p>
            <w:r/>
            <w:r>
              <w:rPr>
                <w:rFonts w:ascii="Calibri" w:hAnsi="Calibri"/>
                <w:sz w:val="20"/>
              </w:rPr>
              <w:t>The FAQ section is generated by the AI from real customer questions during the seed process. All other content is authored by the pro.</w:t>
            </w:r>
          </w:p>
        </w:tc>
      </w:tr>
      <w:tr>
        <w:tc>
          <w:tcPr>
            <w:tcW w:type="dxa" w:w="2340"/>
          </w:tcPr>
          <w:p>
            <w:r/>
            <w:r>
              <w:rPr>
                <w:rFonts w:ascii="Calibri" w:hAnsi="Calibri"/>
                <w:sz w:val="20"/>
              </w:rPr>
              <w:t>Customer Memory</w:t>
            </w:r>
          </w:p>
        </w:tc>
        <w:tc>
          <w:tcPr>
            <w:tcW w:type="dxa" w:w="2340"/>
          </w:tcPr>
          <w:p>
            <w:r/>
            <w:r>
              <w:rPr>
                <w:rFonts w:ascii="Calibri" w:hAnsi="Calibri"/>
                <w:sz w:val="20"/>
              </w:rPr>
              <w:t>One per customer</w:t>
            </w:r>
          </w:p>
        </w:tc>
        <w:tc>
          <w:tcPr>
            <w:tcW w:type="dxa" w:w="2340"/>
          </w:tcPr>
          <w:p>
            <w:r/>
            <w:r>
              <w:rPr>
                <w:rFonts w:ascii="Calibri" w:hAnsi="Calibri"/>
                <w:sz w:val="20"/>
              </w:rPr>
              <w:t>Customer name and contact info; location and service address; job history and invoice details; communication preferences; relationship notes (repeat customer, referral source); outstanding issues or concerns</w:t>
            </w:r>
          </w:p>
        </w:tc>
        <w:tc>
          <w:tcPr>
            <w:tcW w:type="dxa" w:w="2340"/>
          </w:tcPr>
          <w:p>
            <w:r/>
            <w:r>
              <w:rPr>
                <w:rFonts w:ascii="Calibri" w:hAnsi="Calibri"/>
                <w:sz w:val="20"/>
              </w:rPr>
              <w:t>Updated automatically with every message evaluation. When Claude detects new information in a customer message — a location, a preference, a concern — it returns an updated markdown document in customerMemoryUpdate.</w:t>
            </w:r>
          </w:p>
        </w:tc>
      </w:tr>
    </w:tbl>
    <w:p>
      <w:r>
        <w:rPr>
          <w:b/>
        </w:rPr>
        <w:t xml:space="preserve">How memory builds incrementally. </w:t>
      </w:r>
      <w:r>
        <w:t>During Stage 1 evaluation, Claude decides whether the customer memory should be updated. If the message reveals new information, Claude returns an updated markdown document. This means customer memory is built message by message, exactly as a human would build a mental model of a client over time. A message like "I’m over on Pine Island Road" updates the customer’s location; "You did my kitchen last year" updates the relationship notes.</w:t>
      </w:r>
    </w:p>
    <w:p>
      <w:r>
        <w:rPr>
          <w:b/>
        </w:rPr>
        <w:t xml:space="preserve">How memory informs drafts. </w:t>
      </w:r>
      <w:r>
        <w:t>Both memory tiers are injected into the system prompt for every Claude call. When generating a draft reply to Mike’s question about the float charge, Claude has access to: (1) the FAQ entry explaining what floor leveling is, (2) the pricing table showing $2–$4/sq ft is the standard range, and (3) Mike’s conversation history showing Sandro already mentioned the subfloor issue during the estimate visit. This is why the draft can reference specific facts rather than giving a generic response.</w:t>
      </w:r>
    </w:p>
    <w:p>
      <w:pPr>
        <w:pStyle w:val="Heading2"/>
      </w:pPr>
      <w:r>
        <w:t>AI Skills</w:t>
      </w:r>
    </w:p>
    <w:p>
      <w:r>
        <w:t>The backend defines five distinct AI functions, each implemented as a Claude API call with a specific system prompt and a forced tool_use schema. Claude must return structured JSON matching the schema; free-form text responses are not accepted.</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fill="E8F0FE"/>
          </w:tcPr>
          <w:p>
            <w:r/>
            <w:r>
              <w:t>Skill</w:t>
            </w:r>
          </w:p>
        </w:tc>
        <w:tc>
          <w:tcPr>
            <w:tcW w:type="dxa" w:w="2340"/>
            <w:shd w:fill="E8F0FE"/>
          </w:tcPr>
          <w:p>
            <w:r/>
            <w:r>
              <w:t>When It Runs</w:t>
            </w:r>
          </w:p>
        </w:tc>
        <w:tc>
          <w:tcPr>
            <w:tcW w:type="dxa" w:w="2340"/>
            <w:shd w:fill="E8F0FE"/>
          </w:tcPr>
          <w:p>
            <w:r/>
            <w:r>
              <w:t>What Claude Receives</w:t>
            </w:r>
          </w:p>
        </w:tc>
        <w:tc>
          <w:tcPr>
            <w:tcW w:type="dxa" w:w="2340"/>
            <w:shd w:fill="E8F0FE"/>
          </w:tcPr>
          <w:p>
            <w:r/>
            <w:r>
              <w:t>What Claude Returns</w:t>
            </w:r>
          </w:p>
        </w:tc>
      </w:tr>
      <w:tr>
        <w:tc>
          <w:tcPr>
            <w:tcW w:type="dxa" w:w="2340"/>
          </w:tcPr>
          <w:p>
            <w:r/>
            <w:r>
              <w:rPr>
                <w:rFonts w:ascii="Calibri" w:hAnsi="Calibri"/>
                <w:sz w:val="20"/>
              </w:rPr>
              <w:t>evaluateMessage</w:t>
            </w:r>
          </w:p>
        </w:tc>
        <w:tc>
          <w:tcPr>
            <w:tcW w:type="dxa" w:w="2340"/>
          </w:tcPr>
          <w:p>
            <w:r/>
            <w:r>
              <w:rPr>
                <w:rFonts w:ascii="Calibri" w:hAnsi="Calibri"/>
                <w:sz w:val="20"/>
              </w:rPr>
              <w:t>Customer sends a new message</w:t>
            </w:r>
          </w:p>
        </w:tc>
        <w:tc>
          <w:tcPr>
            <w:tcW w:type="dxa" w:w="2340"/>
          </w:tcPr>
          <w:p>
            <w:r/>
            <w:r>
              <w:rPr>
                <w:rFonts w:ascii="Calibri" w:hAnsi="Calibri"/>
                <w:sz w:val="20"/>
              </w:rPr>
              <w:t>Evaluation system prompt, conversation history, invoice details, pro memory, customer memory, new message text</w:t>
            </w:r>
          </w:p>
        </w:tc>
        <w:tc>
          <w:tcPr>
            <w:tcW w:type="dxa" w:w="2340"/>
          </w:tcPr>
          <w:p>
            <w:r/>
            <w:r>
              <w:rPr>
                <w:rFonts w:ascii="Calibri" w:hAnsi="Calibri"/>
                <w:sz w:val="20"/>
              </w:rPr>
              <w:t>shouldCreateAction, actionType, priority, hasSufficientContext, reasoning, customerMemoryUpdate</w:t>
            </w:r>
          </w:p>
        </w:tc>
      </w:tr>
      <w:tr>
        <w:tc>
          <w:tcPr>
            <w:tcW w:type="dxa" w:w="2340"/>
          </w:tcPr>
          <w:p>
            <w:r/>
            <w:r>
              <w:rPr>
                <w:rFonts w:ascii="Calibri" w:hAnsi="Calibri"/>
                <w:sz w:val="20"/>
              </w:rPr>
              <w:t>evaluateConversation</w:t>
            </w:r>
          </w:p>
        </w:tc>
        <w:tc>
          <w:tcPr>
            <w:tcW w:type="dxa" w:w="2340"/>
          </w:tcPr>
          <w:p>
            <w:r/>
            <w:r>
              <w:rPr>
                <w:rFonts w:ascii="Calibri" w:hAnsi="Calibri"/>
                <w:sz w:val="20"/>
              </w:rPr>
              <w:t>Seed pipeline processes a conversation holistically</w:t>
            </w:r>
          </w:p>
        </w:tc>
        <w:tc>
          <w:tcPr>
            <w:tcW w:type="dxa" w:w="2340"/>
          </w:tcPr>
          <w:p>
            <w:r/>
            <w:r>
              <w:rPr>
                <w:rFonts w:ascii="Calibri" w:hAnsi="Calibri"/>
                <w:sz w:val="20"/>
              </w:rPr>
              <w:t>Same inputs as evaluateMessage, but evaluates the full conversation state. Detects patterns like invoices sent without a summary.</w:t>
            </w:r>
          </w:p>
        </w:tc>
        <w:tc>
          <w:tcPr>
            <w:tcW w:type="dxa" w:w="2340"/>
          </w:tcPr>
          <w:p>
            <w:r/>
            <w:r>
              <w:rPr>
                <w:rFonts w:ascii="Calibri" w:hAnsi="Calibri"/>
                <w:sz w:val="20"/>
              </w:rPr>
              <w:t>Same schema as evaluateMessage but considers the entire thread</w:t>
            </w:r>
          </w:p>
        </w:tc>
      </w:tr>
      <w:tr>
        <w:tc>
          <w:tcPr>
            <w:tcW w:type="dxa" w:w="2340"/>
          </w:tcPr>
          <w:p>
            <w:r/>
            <w:r>
              <w:rPr>
                <w:rFonts w:ascii="Calibri" w:hAnsi="Calibri"/>
                <w:sz w:val="20"/>
              </w:rPr>
              <w:t>generateDraft</w:t>
            </w:r>
          </w:p>
        </w:tc>
        <w:tc>
          <w:tcPr>
            <w:tcW w:type="dxa" w:w="2340"/>
          </w:tcPr>
          <w:p>
            <w:r/>
            <w:r>
              <w:rPr>
                <w:rFonts w:ascii="Calibri" w:hAnsi="Calibri"/>
                <w:sz w:val="20"/>
              </w:rPr>
              <w:t>Pro taps "AI Draft"</w:t>
            </w:r>
          </w:p>
        </w:tc>
        <w:tc>
          <w:tcPr>
            <w:tcW w:type="dxa" w:w="2340"/>
          </w:tcPr>
          <w:p>
            <w:r/>
            <w:r>
              <w:rPr>
                <w:rFonts w:ascii="Calibri" w:hAnsi="Calibri"/>
                <w:sz w:val="20"/>
              </w:rPr>
              <w:t>Action-type-specific system prompt (1 of 4), conversation, invoice line items, pro memory, customer memory</w:t>
            </w:r>
          </w:p>
        </w:tc>
        <w:tc>
          <w:tcPr>
            <w:tcW w:type="dxa" w:w="2340"/>
          </w:tcPr>
          <w:p>
            <w:r/>
            <w:r>
              <w:rPr>
                <w:rFonts w:ascii="Calibri" w:hAnsi="Calibri"/>
                <w:sz w:val="20"/>
              </w:rPr>
              <w:t>Draft text, reasoning, sourceMessageIds, memorySources, confidence (0.0–1.0)</w:t>
            </w:r>
          </w:p>
        </w:tc>
      </w:tr>
      <w:tr>
        <w:tc>
          <w:tcPr>
            <w:tcW w:type="dxa" w:w="2340"/>
          </w:tcPr>
          <w:p>
            <w:r/>
            <w:r>
              <w:rPr>
                <w:rFonts w:ascii="Calibri" w:hAnsi="Calibri"/>
                <w:sz w:val="20"/>
              </w:rPr>
              <w:t>generateCustomerMemory</w:t>
            </w:r>
          </w:p>
        </w:tc>
        <w:tc>
          <w:tcPr>
            <w:tcW w:type="dxa" w:w="2340"/>
          </w:tcPr>
          <w:p>
            <w:r/>
            <w:r>
              <w:rPr>
                <w:rFonts w:ascii="Calibri" w:hAnsi="Calibri"/>
                <w:sz w:val="20"/>
              </w:rPr>
              <w:t>Seed pipeline initializes profiles</w:t>
            </w:r>
          </w:p>
        </w:tc>
        <w:tc>
          <w:tcPr>
            <w:tcW w:type="dxa" w:w="2340"/>
          </w:tcPr>
          <w:p>
            <w:r/>
            <w:r>
              <w:rPr>
                <w:rFonts w:ascii="Calibri" w:hAnsi="Calibri"/>
                <w:sz w:val="20"/>
              </w:rPr>
              <w:t>Conversation history, invoice details, pro memory context</w:t>
            </w:r>
          </w:p>
        </w:tc>
        <w:tc>
          <w:tcPr>
            <w:tcW w:type="dxa" w:w="2340"/>
          </w:tcPr>
          <w:p>
            <w:r/>
            <w:r>
              <w:rPr>
                <w:rFonts w:ascii="Calibri" w:hAnsi="Calibri"/>
                <w:sz w:val="20"/>
              </w:rPr>
              <w:t>Full markdown customer memory with profile, job history, and relationship notes</w:t>
            </w:r>
          </w:p>
        </w:tc>
      </w:tr>
      <w:tr>
        <w:tc>
          <w:tcPr>
            <w:tcW w:type="dxa" w:w="2340"/>
          </w:tcPr>
          <w:p>
            <w:r/>
            <w:r>
              <w:rPr>
                <w:rFonts w:ascii="Calibri" w:hAnsi="Calibri"/>
                <w:sz w:val="20"/>
              </w:rPr>
              <w:t>generateFAQ</w:t>
            </w:r>
          </w:p>
        </w:tc>
        <w:tc>
          <w:tcPr>
            <w:tcW w:type="dxa" w:w="2340"/>
          </w:tcPr>
          <w:p>
            <w:r/>
            <w:r>
              <w:rPr>
                <w:rFonts w:ascii="Calibri" w:hAnsi="Calibri"/>
                <w:sz w:val="20"/>
              </w:rPr>
              <w:t>Seed pipeline, after all messages processed</w:t>
            </w:r>
          </w:p>
        </w:tc>
        <w:tc>
          <w:tcPr>
            <w:tcW w:type="dxa" w:w="2340"/>
          </w:tcPr>
          <w:p>
            <w:r/>
            <w:r>
              <w:rPr>
                <w:rFonts w:ascii="Calibri" w:hAnsi="Calibri"/>
                <w:sz w:val="20"/>
              </w:rPr>
              <w:t>Aggregated customer questions from all conversations</w:t>
            </w:r>
          </w:p>
        </w:tc>
        <w:tc>
          <w:tcPr>
            <w:tcW w:type="dxa" w:w="2340"/>
          </w:tcPr>
          <w:p>
            <w:r/>
            <w:r>
              <w:rPr>
                <w:rFonts w:ascii="Calibri" w:hAnsi="Calibri"/>
                <w:sz w:val="20"/>
              </w:rPr>
              <w:t>Markdown FAQ entries derived only from questions customers actually asked</w:t>
            </w:r>
          </w:p>
        </w:tc>
      </w:tr>
    </w:tbl>
    <w:p>
      <w:pPr>
        <w:pStyle w:val="Heading2"/>
      </w:pPr>
      <w:r>
        <w:t>Action Type Detection and Draft Specialization</w:t>
      </w:r>
    </w:p>
    <w:p>
      <w:r>
        <w:t>The pipeline recognizes five action types. Each has its own detection criteria in the evaluation prompt and, where applicable, its own specialized drafting prompt with strict style rules.</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fill="E8F0FE"/>
          </w:tcPr>
          <w:p>
            <w:r/>
            <w:r>
              <w:t>Action Type</w:t>
            </w:r>
          </w:p>
        </w:tc>
        <w:tc>
          <w:tcPr>
            <w:tcW w:type="dxa" w:w="2340"/>
            <w:shd w:fill="E8F0FE"/>
          </w:tcPr>
          <w:p>
            <w:r/>
            <w:r>
              <w:t>Detects When…</w:t>
            </w:r>
          </w:p>
        </w:tc>
        <w:tc>
          <w:tcPr>
            <w:tcW w:type="dxa" w:w="2340"/>
            <w:shd w:fill="E8F0FE"/>
          </w:tcPr>
          <w:p>
            <w:r/>
            <w:r>
              <w:t>Draft Approach</w:t>
            </w:r>
          </w:p>
        </w:tc>
        <w:tc>
          <w:tcPr>
            <w:tcW w:type="dxa" w:w="2340"/>
            <w:shd w:fill="E8F0FE"/>
          </w:tcPr>
          <w:p>
            <w:r/>
            <w:r>
              <w:t>Example Trigger</w:t>
            </w:r>
          </w:p>
        </w:tc>
      </w:tr>
      <w:tr>
        <w:tc>
          <w:tcPr>
            <w:tcW w:type="dxa" w:w="2340"/>
          </w:tcPr>
          <w:p>
            <w:r/>
            <w:r>
              <w:rPr>
                <w:rFonts w:ascii="Calibri" w:hAnsi="Calibri"/>
                <w:sz w:val="20"/>
              </w:rPr>
              <w:t>invoice_question</w:t>
            </w:r>
          </w:p>
        </w:tc>
        <w:tc>
          <w:tcPr>
            <w:tcW w:type="dxa" w:w="2340"/>
          </w:tcPr>
          <w:p>
            <w:r/>
            <w:r>
              <w:rPr>
                <w:rFonts w:ascii="Calibri" w:hAnsi="Calibri"/>
                <w:sz w:val="20"/>
              </w:rPr>
              <w:t>Customer questions or disputes a specific charge on a received invoice</w:t>
            </w:r>
          </w:p>
        </w:tc>
        <w:tc>
          <w:tcPr>
            <w:tcW w:type="dxa" w:w="2340"/>
          </w:tcPr>
          <w:p>
            <w:r/>
            <w:r>
              <w:rPr>
                <w:rFonts w:ascii="Calibri" w:hAnsi="Calibri"/>
                <w:sz w:val="20"/>
              </w:rPr>
              <w:t>Transparent, educational. Explain WHY the charge exists. Reference the FAQ and line item amounts.</w:t>
            </w:r>
          </w:p>
        </w:tc>
        <w:tc>
          <w:tcPr>
            <w:tcW w:type="dxa" w:w="2340"/>
          </w:tcPr>
          <w:p>
            <w:r/>
            <w:r>
              <w:rPr>
                <w:rFonts w:ascii="Calibri" w:hAnsi="Calibri"/>
                <w:sz w:val="20"/>
              </w:rPr>
              <w:t>"What’s the float charge for? $450 seems like a lot."</w:t>
            </w:r>
          </w:p>
        </w:tc>
      </w:tr>
      <w:tr>
        <w:tc>
          <w:tcPr>
            <w:tcW w:type="dxa" w:w="2340"/>
          </w:tcPr>
          <w:p>
            <w:r/>
            <w:r>
              <w:rPr>
                <w:rFonts w:ascii="Calibri" w:hAnsi="Calibri"/>
                <w:sz w:val="20"/>
              </w:rPr>
              <w:t>invoice_summary</w:t>
            </w:r>
          </w:p>
        </w:tc>
        <w:tc>
          <w:tcPr>
            <w:tcW w:type="dxa" w:w="2340"/>
          </w:tcPr>
          <w:p>
            <w:r/>
            <w:r>
              <w:rPr>
                <w:rFonts w:ascii="Calibri" w:hAnsi="Calibri"/>
                <w:sz w:val="20"/>
              </w:rPr>
              <w:t>Invoice was sent without a friendly breakdown message</w:t>
            </w:r>
          </w:p>
        </w:tc>
        <w:tc>
          <w:tcPr>
            <w:tcW w:type="dxa" w:w="2340"/>
          </w:tcPr>
          <w:p>
            <w:r/>
            <w:r>
              <w:rPr>
                <w:rFonts w:ascii="Calibri" w:hAnsi="Calibri"/>
                <w:sz w:val="20"/>
              </w:rPr>
              <w:t>Warm, appreciative. Break down each line item naturally, explain value, proactively address confusion.</w:t>
            </w:r>
          </w:p>
        </w:tc>
        <w:tc>
          <w:tcPr>
            <w:tcW w:type="dxa" w:w="2340"/>
          </w:tcPr>
          <w:p>
            <w:r/>
            <w:r>
              <w:rPr>
                <w:rFonts w:ascii="Calibri" w:hAnsi="Calibri"/>
                <w:sz w:val="20"/>
              </w:rPr>
              <w:t>(Proactive — no customer message needed. AI detects the missing summary.)</w:t>
            </w:r>
          </w:p>
        </w:tc>
      </w:tr>
      <w:tr>
        <w:tc>
          <w:tcPr>
            <w:tcW w:type="dxa" w:w="2340"/>
          </w:tcPr>
          <w:p>
            <w:r/>
            <w:r>
              <w:rPr>
                <w:rFonts w:ascii="Calibri" w:hAnsi="Calibri"/>
                <w:sz w:val="20"/>
              </w:rPr>
              <w:t>payment_followup</w:t>
            </w:r>
          </w:p>
        </w:tc>
        <w:tc>
          <w:tcPr>
            <w:tcW w:type="dxa" w:w="2340"/>
          </w:tcPr>
          <w:p>
            <w:r/>
            <w:r>
              <w:rPr>
                <w:rFonts w:ascii="Calibri" w:hAnsi="Calibri"/>
                <w:sz w:val="20"/>
              </w:rPr>
              <w:t>Customer promised to pay by a date that has now passed</w:t>
            </w:r>
          </w:p>
        </w:tc>
        <w:tc>
          <w:tcPr>
            <w:tcW w:type="dxa" w:w="2340"/>
          </w:tcPr>
          <w:p>
            <w:r/>
            <w:r>
              <w:rPr>
                <w:rFonts w:ascii="Calibri" w:hAnsi="Calibri"/>
                <w:sz w:val="20"/>
              </w:rPr>
              <w:t>Friendly nudge, not a demand. Reference the customer’s own words about when they said they’d pay.</w:t>
            </w:r>
          </w:p>
        </w:tc>
        <w:tc>
          <w:tcPr>
            <w:tcW w:type="dxa" w:w="2340"/>
          </w:tcPr>
          <w:p>
            <w:r/>
            <w:r>
              <w:rPr>
                <w:rFonts w:ascii="Calibri" w:hAnsi="Calibri"/>
                <w:sz w:val="20"/>
              </w:rPr>
              <w:t>"I’ll send payment by Friday" (it’s now Monday)</w:t>
            </w:r>
          </w:p>
        </w:tc>
      </w:tr>
      <w:tr>
        <w:tc>
          <w:tcPr>
            <w:tcW w:type="dxa" w:w="2340"/>
          </w:tcPr>
          <w:p>
            <w:r/>
            <w:r>
              <w:rPr>
                <w:rFonts w:ascii="Calibri" w:hAnsi="Calibri"/>
                <w:sz w:val="20"/>
              </w:rPr>
              <w:t>payment_plan</w:t>
            </w:r>
          </w:p>
        </w:tc>
        <w:tc>
          <w:tcPr>
            <w:tcW w:type="dxa" w:w="2340"/>
          </w:tcPr>
          <w:p>
            <w:r/>
            <w:r>
              <w:rPr>
                <w:rFonts w:ascii="Calibri" w:hAnsi="Calibri"/>
                <w:sz w:val="20"/>
              </w:rPr>
              <w:t>Customer expresses difficulty paying the full amount</w:t>
            </w:r>
          </w:p>
        </w:tc>
        <w:tc>
          <w:tcPr>
            <w:tcW w:type="dxa" w:w="2340"/>
          </w:tcPr>
          <w:p>
            <w:r/>
            <w:r>
              <w:rPr>
                <w:rFonts w:ascii="Calibri" w:hAnsi="Calibri"/>
                <w:sz w:val="20"/>
              </w:rPr>
              <w:t>Understanding, accommodating. Suggest 2–3 installments with specific amounts. No judgment.</w:t>
            </w:r>
          </w:p>
        </w:tc>
        <w:tc>
          <w:tcPr>
            <w:tcW w:type="dxa" w:w="2340"/>
          </w:tcPr>
          <w:p>
            <w:r/>
            <w:r>
              <w:rPr>
                <w:rFonts w:ascii="Calibri" w:hAnsi="Calibri"/>
                <w:sz w:val="20"/>
              </w:rPr>
              <w:t>"$5,800 is a lot. Can I break this up?"</w:t>
            </w:r>
          </w:p>
        </w:tc>
      </w:tr>
      <w:tr>
        <w:tc>
          <w:tcPr>
            <w:tcW w:type="dxa" w:w="2340"/>
          </w:tcPr>
          <w:p>
            <w:r/>
            <w:r>
              <w:rPr>
                <w:rFonts w:ascii="Calibri" w:hAnsi="Calibri"/>
                <w:sz w:val="20"/>
              </w:rPr>
              <w:t>invoice_request</w:t>
            </w:r>
          </w:p>
        </w:tc>
        <w:tc>
          <w:tcPr>
            <w:tcW w:type="dxa" w:w="2340"/>
          </w:tcPr>
          <w:p>
            <w:r/>
            <w:r>
              <w:rPr>
                <w:rFonts w:ascii="Calibri" w:hAnsi="Calibri"/>
                <w:sz w:val="20"/>
              </w:rPr>
              <w:t>Customer asks for an invoice but none exists yet</w:t>
            </w:r>
          </w:p>
        </w:tc>
        <w:tc>
          <w:tcPr>
            <w:tcW w:type="dxa" w:w="2340"/>
          </w:tcPr>
          <w:p>
            <w:r/>
            <w:r>
              <w:rPr>
                <w:rFonts w:ascii="Calibri" w:hAnsi="Calibri"/>
                <w:sz w:val="20"/>
              </w:rPr>
              <w:t>No AI draft generated. Flags for the pro to create and send the invoice manually.</w:t>
            </w:r>
          </w:p>
        </w:tc>
        <w:tc>
          <w:tcPr>
            <w:tcW w:type="dxa" w:w="2340"/>
          </w:tcPr>
          <w:p>
            <w:r/>
            <w:r>
              <w:rPr>
                <w:rFonts w:ascii="Calibri" w:hAnsi="Calibri"/>
                <w:sz w:val="20"/>
              </w:rPr>
              <w:t>"Can you send me the invoice for the bathroom job?"</w:t>
            </w:r>
          </w:p>
        </w:tc>
      </w:tr>
    </w:tbl>
    <w:p>
      <w:r>
        <w:rPr>
          <w:b/>
        </w:rPr>
        <w:t xml:space="preserve">Mandatory style rules across all draft types: </w:t>
      </w:r>
      <w:r>
        <w:t>No em-dashes. No AI-sounding phrases ("I understand," "certainly," "I’d be happy to," "don’t hesitate"). No absolute dates — only relative references ("yesterday," "earlier this week"). Sign off as "– Sandro." Write like a busy flooring installer texting a customer: short, warm, direct. These rules were derived from customer research — pros communicate via text, not formal email.</w:t>
      </w:r>
    </w:p>
    <w:p>
      <w:pPr>
        <w:pStyle w:val="Heading2"/>
      </w:pPr>
      <w:r>
        <w:t>Fallback System</w:t>
      </w:r>
    </w:p>
    <w:p>
      <w:r>
        <w:t>Every AI function has a deterministic fallback that activates if the Claude API is unavailable or returns an unparseable response. Fallbacks use keyword matching and template responses — less intelligent, but they keep the product functional.</w:t>
      </w:r>
    </w:p>
    <w:tbl>
      <w:tblPr>
        <w:tblStyle w:val="TableGrid"/>
        <w:tblW w:type="auto" w:w="0"/>
        <w:tblLook w:firstColumn="1" w:firstRow="1" w:lastColumn="0" w:lastRow="0" w:noHBand="0" w:noVBand="1" w:val="04A0"/>
      </w:tblPr>
      <w:tblGrid>
        <w:gridCol w:w="3120"/>
        <w:gridCol w:w="3120"/>
        <w:gridCol w:w="3120"/>
      </w:tblGrid>
      <w:tr>
        <w:tc>
          <w:tcPr>
            <w:tcW w:type="dxa" w:w="3120"/>
            <w:shd w:fill="E8F0FE"/>
          </w:tcPr>
          <w:p>
            <w:r/>
            <w:r>
              <w:t>Function</w:t>
            </w:r>
          </w:p>
        </w:tc>
        <w:tc>
          <w:tcPr>
            <w:tcW w:type="dxa" w:w="3120"/>
            <w:shd w:fill="E8F0FE"/>
          </w:tcPr>
          <w:p>
            <w:r/>
            <w:r>
              <w:t>Fallback Strategy</w:t>
            </w:r>
          </w:p>
        </w:tc>
        <w:tc>
          <w:tcPr>
            <w:tcW w:type="dxa" w:w="3120"/>
            <w:shd w:fill="E8F0FE"/>
          </w:tcPr>
          <w:p>
            <w:r/>
            <w:r>
              <w:t>Quality Tradeoff</w:t>
            </w:r>
          </w:p>
        </w:tc>
      </w:tr>
      <w:tr>
        <w:tc>
          <w:tcPr>
            <w:tcW w:type="dxa" w:w="3120"/>
          </w:tcPr>
          <w:p>
            <w:r/>
            <w:r>
              <w:rPr>
                <w:rFonts w:ascii="Calibri" w:hAnsi="Calibri"/>
                <w:sz w:val="20"/>
              </w:rPr>
              <w:t>evaluateMessage</w:t>
            </w:r>
          </w:p>
        </w:tc>
        <w:tc>
          <w:tcPr>
            <w:tcW w:type="dxa" w:w="3120"/>
          </w:tcPr>
          <w:p>
            <w:r/>
            <w:r>
              <w:rPr>
                <w:rFonts w:ascii="Calibri" w:hAnsi="Calibri"/>
                <w:sz w:val="20"/>
              </w:rPr>
              <w:t>Keyword scan: "charge/fee/cost" → invoice_question, "can’t pay/split" → payment_plan, "pay/send payment" on overdue invoice → payment_followup. Checks for invoice presence before creating actions.</w:t>
            </w:r>
          </w:p>
        </w:tc>
        <w:tc>
          <w:tcPr>
            <w:tcW w:type="dxa" w:w="3120"/>
          </w:tcPr>
          <w:p>
            <w:r/>
            <w:r>
              <w:rPr>
                <w:rFonts w:ascii="Calibri" w:hAnsi="Calibri"/>
                <w:sz w:val="20"/>
              </w:rPr>
              <w:t>Misses nuanced intent (e.g., "$450 seems like a lot" without explicit keywords). Cannot detect proactive opportunities like missing invoice summaries.</w:t>
            </w:r>
          </w:p>
        </w:tc>
      </w:tr>
      <w:tr>
        <w:tc>
          <w:tcPr>
            <w:tcW w:type="dxa" w:w="3120"/>
          </w:tcPr>
          <w:p>
            <w:r/>
            <w:r>
              <w:rPr>
                <w:rFonts w:ascii="Calibri" w:hAnsi="Calibri"/>
                <w:sz w:val="20"/>
              </w:rPr>
              <w:t>generateDraft</w:t>
            </w:r>
          </w:p>
        </w:tc>
        <w:tc>
          <w:tcPr>
            <w:tcW w:type="dxa" w:w="3120"/>
          </w:tcPr>
          <w:p>
            <w:r/>
            <w:r>
              <w:rPr>
                <w:rFonts w:ascii="Calibri" w:hAnsi="Calibri"/>
                <w:sz w:val="20"/>
              </w:rPr>
              <w:t>Template responses per action type using customer first name, invoice number, and total. Factually correct but generic.</w:t>
            </w:r>
          </w:p>
        </w:tc>
        <w:tc>
          <w:tcPr>
            <w:tcW w:type="dxa" w:w="3120"/>
          </w:tcPr>
          <w:p>
            <w:r/>
            <w:r>
              <w:rPr>
                <w:rFonts w:ascii="Calibri" w:hAnsi="Calibri"/>
                <w:sz w:val="20"/>
              </w:rPr>
              <w:t>Cannot reference specific line items, FAQ entries, or conversation context. Lower confidence (0.8 vs. 0.95 for AI-generated).</w:t>
            </w:r>
          </w:p>
        </w:tc>
      </w:tr>
    </w:tbl>
    <w:p>
      <w:r>
        <w:t>Fallbacks ensure the product never shows an error state. If the API is down, the pro sees a functional inbox with slightly less intelligent recommendations — they may never know the difference.</w:t>
      </w:r>
    </w:p>
    <w:p>
      <w:pPr>
        <w:pStyle w:val="Heading2"/>
      </w:pPr>
      <w:r>
        <w:t>Seed Pipeline</w:t>
      </w:r>
    </w:p>
    <w:p>
      <w:r>
        <w:t>The seed script processes all mock conversations through the full AI pipeline before the app launches, pre-computing actions, drafts, and customer memories. This ensures the demo loads instantly with high-quality AI outputs rather than requiring live API calls on every page load.</w:t>
      </w:r>
    </w:p>
    <w:p>
      <w:r>
        <w:t>The seed runs five phases in sequence:</w:t>
      </w:r>
    </w:p>
    <w:tbl>
      <w:tblPr>
        <w:tblStyle w:val="TableGrid"/>
        <w:tblW w:type="auto" w:w="0"/>
        <w:tblLook w:firstColumn="1" w:firstRow="1" w:lastColumn="0" w:lastRow="0" w:noHBand="0" w:noVBand="1" w:val="04A0"/>
      </w:tblPr>
      <w:tblGrid>
        <w:gridCol w:w="3120"/>
        <w:gridCol w:w="3120"/>
        <w:gridCol w:w="3120"/>
      </w:tblGrid>
      <w:tr>
        <w:tc>
          <w:tcPr>
            <w:tcW w:type="dxa" w:w="3120"/>
            <w:shd w:fill="E8F0FE"/>
          </w:tcPr>
          <w:p>
            <w:r/>
            <w:r>
              <w:t>Phase</w:t>
            </w:r>
          </w:p>
        </w:tc>
        <w:tc>
          <w:tcPr>
            <w:tcW w:type="dxa" w:w="3120"/>
            <w:shd w:fill="E8F0FE"/>
          </w:tcPr>
          <w:p>
            <w:r/>
            <w:r>
              <w:t>What It Does</w:t>
            </w:r>
          </w:p>
        </w:tc>
        <w:tc>
          <w:tcPr>
            <w:tcW w:type="dxa" w:w="3120"/>
            <w:shd w:fill="E8F0FE"/>
          </w:tcPr>
          <w:p>
            <w:r/>
            <w:r>
              <w:t>Why It Matters</w:t>
            </w:r>
          </w:p>
        </w:tc>
      </w:tr>
      <w:tr>
        <w:tc>
          <w:tcPr>
            <w:tcW w:type="dxa" w:w="3120"/>
          </w:tcPr>
          <w:p>
            <w:r/>
            <w:r>
              <w:rPr>
                <w:rFonts w:ascii="Calibri" w:hAnsi="Calibri"/>
                <w:sz w:val="20"/>
              </w:rPr>
              <w:t>B. Message Processing</w:t>
            </w:r>
          </w:p>
        </w:tc>
        <w:tc>
          <w:tcPr>
            <w:tcW w:type="dxa" w:w="3120"/>
          </w:tcPr>
          <w:p>
            <w:r/>
            <w:r>
              <w:rPr>
                <w:rFonts w:ascii="Calibri" w:hAnsi="Calibri"/>
                <w:sz w:val="20"/>
              </w:rPr>
              <w:t>Feeds each customer message through evaluateMessage one at a time, in chronological order. Customer memory is built incrementally.</w:t>
            </w:r>
          </w:p>
        </w:tc>
        <w:tc>
          <w:tcPr>
            <w:tcW w:type="dxa" w:w="3120"/>
          </w:tcPr>
          <w:p>
            <w:r/>
            <w:r>
              <w:rPr>
                <w:rFonts w:ascii="Calibri" w:hAnsi="Calibri"/>
                <w:sz w:val="20"/>
              </w:rPr>
              <w:t>Simulates real-time processing. Memory grows naturally as the conversation unfolds, just as it would in production.</w:t>
            </w:r>
          </w:p>
        </w:tc>
      </w:tr>
      <w:tr>
        <w:tc>
          <w:tcPr>
            <w:tcW w:type="dxa" w:w="3120"/>
          </w:tcPr>
          <w:p>
            <w:r/>
            <w:r>
              <w:rPr>
                <w:rFonts w:ascii="Calibri" w:hAnsi="Calibri"/>
                <w:sz w:val="20"/>
              </w:rPr>
              <w:t>C. FAQ Generation</w:t>
            </w:r>
          </w:p>
        </w:tc>
        <w:tc>
          <w:tcPr>
            <w:tcW w:type="dxa" w:w="3120"/>
          </w:tcPr>
          <w:p>
            <w:r/>
            <w:r>
              <w:rPr>
                <w:rFonts w:ascii="Calibri" w:hAnsi="Calibri"/>
                <w:sz w:val="20"/>
              </w:rPr>
              <w:t>Collects all customer questions from Phase B and sends them to generateFAQ. Output is written into proMemory.md.</w:t>
            </w:r>
          </w:p>
        </w:tc>
        <w:tc>
          <w:tcPr>
            <w:tcW w:type="dxa" w:w="3120"/>
          </w:tcPr>
          <w:p>
            <w:r/>
            <w:r>
              <w:rPr>
                <w:rFonts w:ascii="Calibri" w:hAnsi="Calibri"/>
                <w:sz w:val="20"/>
              </w:rPr>
              <w:t>FAQ is derived from actual customer question patterns. This is the AI learning from the business’s real conversations.</w:t>
            </w:r>
          </w:p>
        </w:tc>
      </w:tr>
      <w:tr>
        <w:tc>
          <w:tcPr>
            <w:tcW w:type="dxa" w:w="3120"/>
          </w:tcPr>
          <w:p>
            <w:r/>
            <w:r>
              <w:rPr>
                <w:rFonts w:ascii="Calibri" w:hAnsi="Calibri"/>
                <w:sz w:val="20"/>
              </w:rPr>
              <w:t>D. Draft Generation</w:t>
            </w:r>
          </w:p>
        </w:tc>
        <w:tc>
          <w:tcPr>
            <w:tcW w:type="dxa" w:w="3120"/>
          </w:tcPr>
          <w:p>
            <w:r/>
            <w:r>
              <w:rPr>
                <w:rFonts w:ascii="Calibri" w:hAnsi="Calibri"/>
                <w:sz w:val="20"/>
              </w:rPr>
              <w:t>For each action from Phase B, generates a draft using the now-complete Pro Memory (including FAQ) and customer memory.</w:t>
            </w:r>
          </w:p>
        </w:tc>
        <w:tc>
          <w:tcPr>
            <w:tcW w:type="dxa" w:w="3120"/>
          </w:tcPr>
          <w:p>
            <w:r/>
            <w:r>
              <w:rPr>
                <w:rFonts w:ascii="Calibri" w:hAnsi="Calibri"/>
                <w:sz w:val="20"/>
              </w:rPr>
              <w:t>Drafts benefit from the full knowledge base. Mike’s float question draft references the FAQ entry generated in Phase C.</w:t>
            </w:r>
          </w:p>
        </w:tc>
      </w:tr>
      <w:tr>
        <w:tc>
          <w:tcPr>
            <w:tcW w:type="dxa" w:w="3120"/>
          </w:tcPr>
          <w:p>
            <w:r/>
            <w:r>
              <w:rPr>
                <w:rFonts w:ascii="Calibri" w:hAnsi="Calibri"/>
                <w:sz w:val="20"/>
              </w:rPr>
              <w:t>E. Test Scenarios</w:t>
            </w:r>
          </w:p>
        </w:tc>
        <w:tc>
          <w:tcPr>
            <w:tcW w:type="dxa" w:w="3120"/>
          </w:tcPr>
          <w:p>
            <w:r/>
            <w:r>
              <w:rPr>
                <w:rFonts w:ascii="Calibri" w:hAnsi="Calibri"/>
                <w:sz w:val="20"/>
              </w:rPr>
              <w:t>Runs edge cases: scheduling messages (should NOT create actions), warranty questions (should NOT), invoice requests (should, but no draft).</w:t>
            </w:r>
          </w:p>
        </w:tc>
        <w:tc>
          <w:tcPr>
            <w:tcW w:type="dxa" w:w="3120"/>
          </w:tcPr>
          <w:p>
            <w:r/>
            <w:r>
              <w:rPr>
                <w:rFonts w:ascii="Calibri" w:hAnsi="Calibri"/>
                <w:sz w:val="20"/>
              </w:rPr>
              <w:t>Validates the AI respects the "do not create actions for" rules. Regression test for prompt quality.</w:t>
            </w:r>
          </w:p>
        </w:tc>
      </w:tr>
      <w:tr>
        <w:tc>
          <w:tcPr>
            <w:tcW w:type="dxa" w:w="3120"/>
          </w:tcPr>
          <w:p>
            <w:r/>
            <w:r>
              <w:rPr>
                <w:rFonts w:ascii="Calibri" w:hAnsi="Calibri"/>
                <w:sz w:val="20"/>
              </w:rPr>
              <w:t>F. Validation</w:t>
            </w:r>
          </w:p>
        </w:tc>
        <w:tc>
          <w:tcPr>
            <w:tcW w:type="dxa" w:w="3120"/>
          </w:tcPr>
          <w:p>
            <w:r/>
            <w:r>
              <w:rPr>
                <w:rFonts w:ascii="Calibri" w:hAnsi="Calibri"/>
                <w:sz w:val="20"/>
              </w:rPr>
              <w:t>Checks: exactly 2 actions (conv 1 and 2), no stray actions on conv 3–6, drafts signed by Sandro, no em-dashes in drafts.</w:t>
            </w:r>
          </w:p>
        </w:tc>
        <w:tc>
          <w:tcPr>
            <w:tcW w:type="dxa" w:w="3120"/>
          </w:tcPr>
          <w:p>
            <w:r/>
            <w:r>
              <w:rPr>
                <w:rFonts w:ascii="Calibri" w:hAnsi="Calibri"/>
                <w:sz w:val="20"/>
              </w:rPr>
              <w:t>Automated quality gate. If any check fails, the script exits with an error — bad data never ships.</w:t>
            </w:r>
          </w:p>
        </w:tc>
      </w:tr>
    </w:tbl>
    <w:p>
      <w:r>
        <w:t>The seed pipeline produces two output files:</w:t>
      </w:r>
    </w:p>
    <w:p>
      <w:pPr>
        <w:pStyle w:val="ListBullet"/>
      </w:pPr>
      <w:r>
        <w:rPr>
          <w:b/>
        </w:rPr>
        <w:t xml:space="preserve">seedData.json </w:t>
      </w:r>
      <w:r>
        <w:t>— actions, cached drafts, and customer memories loaded by the frontend at startup. This is the "instant" data that makes the demo feel responsive.</w:t>
      </w:r>
    </w:p>
    <w:p>
      <w:pPr>
        <w:pStyle w:val="ListBullet"/>
      </w:pPr>
      <w:r>
        <w:rPr>
          <w:b/>
        </w:rPr>
        <w:t xml:space="preserve">seedProvenance.json </w:t>
      </w:r>
      <w:r>
        <w:t>— a full audit trail of every evaluation, memory update, action created, and test result. Enables debugging and quality review of AI decisions.</w:t>
      </w:r>
    </w:p>
    <w:p>
      <w:pPr>
        <w:pStyle w:val="Heading2"/>
      </w:pPr>
      <w:r>
        <w:t>Provenance and Transparency</w:t>
      </w:r>
    </w:p>
    <w:p>
      <w:r>
        <w:t>Every AI output in the system is traceable. This is a direct implementation of the transparency principles from Section 3:</w:t>
      </w:r>
    </w:p>
    <w:p>
      <w:pPr>
        <w:pStyle w:val="ListBullet"/>
      </w:pPr>
      <w:r>
        <w:rPr>
          <w:b/>
        </w:rPr>
        <w:t xml:space="preserve">Source messages. </w:t>
      </w:r>
      <w:r>
        <w:t>Every draft includes sourceMessageIds — the exact customer messages that triggered the action. The UI resolves these IDs to actual message text and shows them in the "Based on these messages" panel.</w:t>
      </w:r>
    </w:p>
    <w:p>
      <w:pPr>
        <w:pStyle w:val="ListBullet"/>
      </w:pPr>
      <w:r>
        <w:rPr>
          <w:b/>
        </w:rPr>
        <w:t xml:space="preserve">Memory sources. </w:t>
      </w:r>
      <w:r>
        <w:t>Every draft includes memorySources — the specific FAQ entries or business facts that informed the response, with labels like "FAQ: What is a float charge?" or "Services &amp; Pricing."</w:t>
      </w:r>
    </w:p>
    <w:p>
      <w:pPr>
        <w:pStyle w:val="ListBullet"/>
      </w:pPr>
      <w:r>
        <w:rPr>
          <w:b/>
        </w:rPr>
        <w:t xml:space="preserve">Reasoning chain. </w:t>
      </w:r>
      <w:r>
        <w:t>Every evaluation includes a reasoning field — 1–2 sentences explaining why Claude did or didn’t create an action. Stored in the provenance log and surfaced in the UI.</w:t>
      </w:r>
    </w:p>
    <w:p>
      <w:pPr>
        <w:pStyle w:val="ListBullet"/>
      </w:pPr>
      <w:r>
        <w:rPr>
          <w:b/>
        </w:rPr>
        <w:t xml:space="preserve">Confidence score. </w:t>
      </w:r>
      <w:r>
        <w:t>Every draft includes a confidence value between 0.0 and 1.0, displayed as a visual bar in the reasoning modal. The pro can gauge how certain the AI is before deciding to send.</w:t>
      </w:r>
    </w:p>
    <w:p>
      <w:r>
        <w:t>When a pro taps "Why this?" on a draft, they see the complete evidence chain: which customer messages were analyzed, which business knowledge informed the response, and why the AI chose this particular approach. Nothing is a black box.</w:t>
      </w:r>
    </w:p>
    <w:sect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40"/>
    </w:pPr>
    <w:rPr>
      <w:rFonts w:ascii="Calibri" w:hAnsi="Calibri"/>
      <w:color w:val="1C1C1E"/>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61F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61F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61F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