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95E07" w:rsidRPr="00D95E07" w:rsidRDefault="00D95E07" w:rsidP="00D95E07">
      <w:pPr>
        <w:tabs>
          <w:tab w:val="left" w:pos="4410"/>
        </w:tabs>
        <w:ind w:firstLine="0"/>
        <w:jc w:val="center"/>
        <w:rPr>
          <w:b/>
          <w:bCs/>
        </w:rPr>
      </w:pPr>
      <w:r w:rsidRPr="00D95E07">
        <w:rPr>
          <w:b/>
          <w:bCs/>
        </w:rPr>
        <w:t>Vertical Integration Exercise</w:t>
      </w:r>
    </w:p>
    <w:p w:rsidR="00D95E07" w:rsidRDefault="00D95E07" w:rsidP="00D95E07">
      <w:r>
        <w:t xml:space="preserve">The process of vertical integration becomes important because it enables different stages of production and distribution to be done by a single firm. </w:t>
      </w:r>
      <w:r>
        <w:t>In this exercise, t</w:t>
      </w:r>
      <w:r>
        <w:t>hree types of costs that are generally associated with the administration of a firm and that can be a subject of the reduction through vertical integration include rent, utilities, and legal expenses.</w:t>
      </w:r>
    </w:p>
    <w:p w:rsidR="00D95E07" w:rsidRDefault="00D95E07" w:rsidP="00D95E07">
      <w:r>
        <w:t xml:space="preserve">Starbucks is an example of a company that has been able to overcome the issue of high rental costs through vertical integration. The company has vertically integrated since it controls production processes from coffee bean farms, roasting plants, warehouses, and distribution facilities to retailers. Instead of leasing these facilities, by owning them, Starbucks is in a position to cut most of its actual and future rental costs in its supply chain. This vertical integration enables </w:t>
      </w:r>
      <w:r>
        <w:t>Starbucks</w:t>
      </w:r>
      <w:r>
        <w:t xml:space="preserve"> gain more control of its overhead costs especially the cost of real estate compared to other coffee firms that can be forced to increase their charges of coffee sold in prime business locations.</w:t>
      </w:r>
    </w:p>
    <w:p w:rsidR="00D95E07" w:rsidRDefault="00D95E07" w:rsidP="00D95E07">
      <w:r>
        <w:t xml:space="preserve">Another large administrative expense is utilities, for which, companies strive to control through vertical integration. An example of this is Google investing in the renewable energy production, which </w:t>
      </w:r>
      <w:r w:rsidR="00EC48CA">
        <w:t xml:space="preserve">according to Pichai (2019), </w:t>
      </w:r>
      <w:r>
        <w:t>has the potential to disrupt the existing business models. In this regard, Google has used its resources to invest in wind and solar farms to supply power to its large data centers. By moving into the energy production venture vertically, Google stand to benefit by lowering its energy bills and also be assured of stable and predictable energy costs to conduct its business. This vertical integration into utilities aids Google to reduce the problem of volatile energy costs, which would otherwise overwhelm the company’s administration.</w:t>
      </w:r>
    </w:p>
    <w:p w:rsidR="00D95E07" w:rsidRDefault="00D95E07" w:rsidP="00D95E07">
      <w:r>
        <w:lastRenderedPageBreak/>
        <w:t>Another instance where firms can implement vertical integration to cut down on costs includes legal counsel costs which is a third administration expense. An example of this is the use of in-house legal technology startups by JPMorgan Chase. In the article published in CNBC, the author has stated that JPMorgan has bought some legal tech firms for new internal legal and compliance activities (Son, 2023). By developing leg tech capabilities that are integrated across the legal architecture of the organization, JPMorgan saves on employing additional outside legal service providers and effectively controlling for legal administrative expenses. This makes it possible for the company to retain more routine legal work in-house hence at a cheaper cost.</w:t>
      </w:r>
    </w:p>
    <w:p w:rsidR="00B17A51" w:rsidRDefault="0059795B" w:rsidP="0059795B">
      <w:r w:rsidRPr="0059795B">
        <w:t>The above examples show how this form of integration proves as an efficient way of handling out different administrative costs. By implementing some of the activities that are performed by suppliers or other businesses within the company’s organization, the expenses on rent, electricity, legal services, and other related areas can be eliminated. Vertical integration therefore entails a lot of capital investment in the short run however in the long run it is very beneficial in that it allows a business firm to exercise more control on its major strategic operations and costs.</w:t>
      </w:r>
    </w:p>
    <w:p w:rsidR="00EC48CA" w:rsidRDefault="00EC48CA" w:rsidP="00EC48CA">
      <w:pPr>
        <w:ind w:firstLine="0"/>
      </w:pPr>
    </w:p>
    <w:p w:rsidR="00EC48CA" w:rsidRPr="00EC48CA" w:rsidRDefault="00EC48CA" w:rsidP="00EC48CA">
      <w:pPr>
        <w:ind w:firstLine="0"/>
        <w:jc w:val="center"/>
        <w:rPr>
          <w:b/>
          <w:bCs/>
        </w:rPr>
      </w:pPr>
      <w:r w:rsidRPr="00EC48CA">
        <w:rPr>
          <w:b/>
          <w:bCs/>
        </w:rPr>
        <w:t>References</w:t>
      </w:r>
    </w:p>
    <w:p w:rsidR="00EC48CA" w:rsidRDefault="00EC48CA" w:rsidP="00EC48CA">
      <w:pPr>
        <w:ind w:left="720" w:hanging="720"/>
      </w:pPr>
      <w:r w:rsidRPr="00EC48CA">
        <w:rPr>
          <w:i/>
          <w:iCs/>
        </w:rPr>
        <w:t xml:space="preserve">Pharmaceutical &amp; Health Care Supply Chain Vertical Integration | </w:t>
      </w:r>
      <w:proofErr w:type="spellStart"/>
      <w:r w:rsidRPr="00EC48CA">
        <w:rPr>
          <w:i/>
          <w:iCs/>
        </w:rPr>
        <w:t>Datex</w:t>
      </w:r>
      <w:proofErr w:type="spellEnd"/>
      <w:r w:rsidRPr="00EC48CA">
        <w:rPr>
          <w:i/>
          <w:iCs/>
        </w:rPr>
        <w:t xml:space="preserve"> Corporation</w:t>
      </w:r>
      <w:r w:rsidRPr="00EC48CA">
        <w:t xml:space="preserve">. (2018, September 28). Www.datexcorp.com. </w:t>
      </w:r>
      <w:hyperlink r:id="rId4" w:history="1">
        <w:r w:rsidRPr="00EC48CA">
          <w:rPr>
            <w:rStyle w:val="Hyperlink"/>
          </w:rPr>
          <w:t>https://www.datexcorp.com/pharma-health-care-supply-chain-vertical-integration/</w:t>
        </w:r>
      </w:hyperlink>
    </w:p>
    <w:p w:rsidR="00EC48CA" w:rsidRDefault="00EC48CA" w:rsidP="00EC48CA">
      <w:pPr>
        <w:ind w:left="720" w:hanging="720"/>
      </w:pPr>
      <w:r w:rsidRPr="00EC48CA">
        <w:t xml:space="preserve">Pichai, S. (2019, September 19). </w:t>
      </w:r>
      <w:r w:rsidRPr="00EC48CA">
        <w:rPr>
          <w:i/>
          <w:iCs/>
        </w:rPr>
        <w:t>Our biggest renewable energy purchase ever</w:t>
      </w:r>
      <w:r w:rsidRPr="00EC48CA">
        <w:t xml:space="preserve">. Google. </w:t>
      </w:r>
      <w:hyperlink r:id="rId5" w:history="1">
        <w:r w:rsidRPr="00EC48CA">
          <w:rPr>
            <w:rStyle w:val="Hyperlink"/>
          </w:rPr>
          <w:t>https://blog.google/outreach-initiatives/sustainability/our-biggest-renewable-energy-purchase-ever/</w:t>
        </w:r>
      </w:hyperlink>
    </w:p>
    <w:p w:rsidR="00EC48CA" w:rsidRPr="00EC48CA" w:rsidRDefault="00EC48CA" w:rsidP="00EC48CA">
      <w:pPr>
        <w:ind w:left="720" w:hanging="720"/>
      </w:pPr>
      <w:r w:rsidRPr="00EC48CA">
        <w:lastRenderedPageBreak/>
        <w:t xml:space="preserve">Son, H. (2023, March 22). </w:t>
      </w:r>
      <w:r w:rsidRPr="00EC48CA">
        <w:rPr>
          <w:i/>
          <w:iCs/>
        </w:rPr>
        <w:t>JPMorgan Chase buys data platform for startups in push to serve venture capital investors</w:t>
      </w:r>
      <w:r w:rsidRPr="00EC48CA">
        <w:t>. CNBC. https://www.cnbc.com/2023/03/22/jpmorgan-chase-buys-fintech-aumni-in-push-to-serve-venture-capital.html</w:t>
      </w:r>
    </w:p>
    <w:p w:rsidR="00EC48CA" w:rsidRDefault="00EC48CA" w:rsidP="00EC48CA">
      <w:pPr>
        <w:ind w:firstLine="0"/>
      </w:pPr>
    </w:p>
    <w:sectPr w:rsidR="00EC4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07"/>
    <w:rsid w:val="001D5A1B"/>
    <w:rsid w:val="0059795B"/>
    <w:rsid w:val="008A779A"/>
    <w:rsid w:val="00AC7229"/>
    <w:rsid w:val="00AF6CDC"/>
    <w:rsid w:val="00B17A51"/>
    <w:rsid w:val="00B47CA5"/>
    <w:rsid w:val="00B80F97"/>
    <w:rsid w:val="00D95E07"/>
    <w:rsid w:val="00E73AA7"/>
    <w:rsid w:val="00EC48CA"/>
    <w:rsid w:val="00EE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8578"/>
  <w15:chartTrackingRefBased/>
  <w15:docId w15:val="{31E1B178-B603-4F21-888F-C5356435A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29"/>
    <w:pPr>
      <w:spacing w:line="480" w:lineRule="auto"/>
      <w:ind w:firstLine="720"/>
      <w:contextualSpacing/>
    </w:pPr>
    <w:rPr>
      <w:rFonts w:ascii="Times New Roman" w:hAnsi="Times New Roman"/>
      <w:sz w:val="24"/>
    </w:rPr>
  </w:style>
  <w:style w:type="paragraph" w:styleId="Heading1">
    <w:name w:val="heading 1"/>
    <w:basedOn w:val="Normal"/>
    <w:next w:val="Normal"/>
    <w:link w:val="Heading1Char"/>
    <w:autoRedefine/>
    <w:uiPriority w:val="9"/>
    <w:qFormat/>
    <w:rsid w:val="00EE2630"/>
    <w:pPr>
      <w:keepNext/>
      <w:keepLines/>
      <w:spacing w:before="240" w:after="0"/>
      <w:ind w:firstLine="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F6CDC"/>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1D5A1B"/>
    <w:pPr>
      <w:keepNext/>
      <w:keepLines/>
      <w:spacing w:before="40" w:after="0"/>
      <w:ind w:left="720"/>
      <w:outlineLvl w:val="2"/>
    </w:pPr>
    <w:rPr>
      <w:rFonts w:asciiTheme="majorHAnsi" w:eastAsiaTheme="majorEastAsia" w:hAnsiTheme="majorHAnsi" w:cstheme="majorBidi"/>
      <w:b/>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3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F6CD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1D5A1B"/>
    <w:rPr>
      <w:rFonts w:asciiTheme="majorHAnsi" w:eastAsiaTheme="majorEastAsia" w:hAnsiTheme="majorHAnsi" w:cstheme="majorBidi"/>
      <w:b/>
      <w:i/>
      <w:sz w:val="24"/>
      <w:szCs w:val="24"/>
    </w:rPr>
  </w:style>
  <w:style w:type="character" w:styleId="Hyperlink">
    <w:name w:val="Hyperlink"/>
    <w:basedOn w:val="DefaultParagraphFont"/>
    <w:uiPriority w:val="99"/>
    <w:unhideWhenUsed/>
    <w:rsid w:val="00EC48CA"/>
    <w:rPr>
      <w:color w:val="0563C1" w:themeColor="hyperlink"/>
      <w:u w:val="single"/>
    </w:rPr>
  </w:style>
  <w:style w:type="character" w:styleId="UnresolvedMention">
    <w:name w:val="Unresolved Mention"/>
    <w:basedOn w:val="DefaultParagraphFont"/>
    <w:uiPriority w:val="99"/>
    <w:semiHidden/>
    <w:unhideWhenUsed/>
    <w:rsid w:val="00EC4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39275">
      <w:bodyDiv w:val="1"/>
      <w:marLeft w:val="0"/>
      <w:marRight w:val="0"/>
      <w:marTop w:val="0"/>
      <w:marBottom w:val="0"/>
      <w:divBdr>
        <w:top w:val="none" w:sz="0" w:space="0" w:color="auto"/>
        <w:left w:val="none" w:sz="0" w:space="0" w:color="auto"/>
        <w:bottom w:val="none" w:sz="0" w:space="0" w:color="auto"/>
        <w:right w:val="none" w:sz="0" w:space="0" w:color="auto"/>
      </w:divBdr>
      <w:divsChild>
        <w:div w:id="1720740531">
          <w:marLeft w:val="-720"/>
          <w:marRight w:val="0"/>
          <w:marTop w:val="0"/>
          <w:marBottom w:val="0"/>
          <w:divBdr>
            <w:top w:val="none" w:sz="0" w:space="0" w:color="auto"/>
            <w:left w:val="none" w:sz="0" w:space="0" w:color="auto"/>
            <w:bottom w:val="none" w:sz="0" w:space="0" w:color="auto"/>
            <w:right w:val="none" w:sz="0" w:space="0" w:color="auto"/>
          </w:divBdr>
        </w:div>
      </w:divsChild>
    </w:div>
    <w:div w:id="643315642">
      <w:bodyDiv w:val="1"/>
      <w:marLeft w:val="0"/>
      <w:marRight w:val="0"/>
      <w:marTop w:val="0"/>
      <w:marBottom w:val="0"/>
      <w:divBdr>
        <w:top w:val="none" w:sz="0" w:space="0" w:color="auto"/>
        <w:left w:val="none" w:sz="0" w:space="0" w:color="auto"/>
        <w:bottom w:val="none" w:sz="0" w:space="0" w:color="auto"/>
        <w:right w:val="none" w:sz="0" w:space="0" w:color="auto"/>
      </w:divBdr>
    </w:div>
    <w:div w:id="663434072">
      <w:bodyDiv w:val="1"/>
      <w:marLeft w:val="0"/>
      <w:marRight w:val="0"/>
      <w:marTop w:val="0"/>
      <w:marBottom w:val="0"/>
      <w:divBdr>
        <w:top w:val="none" w:sz="0" w:space="0" w:color="auto"/>
        <w:left w:val="none" w:sz="0" w:space="0" w:color="auto"/>
        <w:bottom w:val="none" w:sz="0" w:space="0" w:color="auto"/>
        <w:right w:val="none" w:sz="0" w:space="0" w:color="auto"/>
      </w:divBdr>
      <w:divsChild>
        <w:div w:id="35575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log.google/outreach-initiatives/sustainability/our-biggest-renewable-energy-purchase-ever/" TargetMode="External"/><Relationship Id="rId4" Type="http://schemas.openxmlformats.org/officeDocument/2006/relationships/hyperlink" Target="https://www.datexcorp.com/pharma-health-care-supply-chain-vertical-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Poet Cruz</dc:creator>
  <cp:keywords/>
  <dc:description/>
  <cp:lastModifiedBy>Poet Cruz</cp:lastModifiedBy>
  <cp:revision>2</cp:revision>
  <dcterms:created xsi:type="dcterms:W3CDTF">2024-07-29T13:59:00Z</dcterms:created>
  <dcterms:modified xsi:type="dcterms:W3CDTF">2024-07-29T14:21:00Z</dcterms:modified>
</cp:coreProperties>
</file>