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Sabia Al Mansour</w:t>
      </w:r>
    </w:p>
    <w:p w:rsidR="00000000" w:rsidDel="00000000" w:rsidP="00000000" w:rsidRDefault="00000000" w:rsidRPr="00000000" w14:paraId="00000002">
      <w:pPr>
        <w:spacing w:after="12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October 31,2023</w:t>
      </w:r>
    </w:p>
    <w:p w:rsidR="00000000" w:rsidDel="00000000" w:rsidP="00000000" w:rsidRDefault="00000000" w:rsidRPr="00000000" w14:paraId="00000003">
      <w:pPr>
        <w:spacing w:after="12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Professor Hall</w:t>
      </w:r>
    </w:p>
    <w:p w:rsidR="00000000" w:rsidDel="00000000" w:rsidP="00000000" w:rsidRDefault="00000000" w:rsidRPr="00000000" w14:paraId="00000004">
      <w:pPr>
        <w:spacing w:after="12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12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Comparison and Analysis of Rhetorical Moves in Artifact Texts</w:t>
      </w:r>
    </w:p>
    <w:p w:rsidR="00000000" w:rsidDel="00000000" w:rsidP="00000000" w:rsidRDefault="00000000" w:rsidRPr="00000000" w14:paraId="00000006">
      <w:pPr>
        <w:spacing w:after="120" w:line="48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Rhetorical moves as taught in this class relate to the various strategic and deliberate actions that writers employ in their writing to achieve certain communication objectives. Through these moves, writers are provided with the ability to use language and persuasive techniques in persuading, informing, entertaining and even in engaging their audience. Therefore, although rhetorical moves are essential in developing effective communication they may vary based on the context and purpose of the intended message. Following this understanding, the artifact texts “</w:t>
      </w:r>
      <w:r w:rsidDel="00000000" w:rsidR="00000000" w:rsidRPr="00000000">
        <w:rPr>
          <w:rFonts w:ascii="Times New Roman" w:cs="Times New Roman" w:eastAsia="Times New Roman" w:hAnsi="Times New Roman"/>
          <w:i w:val="1"/>
          <w:sz w:val="24"/>
          <w:szCs w:val="24"/>
          <w:rtl w:val="0"/>
        </w:rPr>
        <w:t xml:space="preserve">Procrastination, Deadlines, and Performance: Self-Control by Precommitment</w:t>
      </w:r>
      <w:r w:rsidDel="00000000" w:rsidR="00000000" w:rsidRPr="00000000">
        <w:rPr>
          <w:rFonts w:ascii="Times New Roman" w:cs="Times New Roman" w:eastAsia="Times New Roman" w:hAnsi="Times New Roman"/>
          <w:sz w:val="24"/>
          <w:szCs w:val="24"/>
          <w:rtl w:val="0"/>
        </w:rPr>
        <w:t xml:space="preserve">” by Dan Ariely and Klaus Wertenbroch, and “</w:t>
      </w:r>
      <w:r w:rsidDel="00000000" w:rsidR="00000000" w:rsidRPr="00000000">
        <w:rPr>
          <w:rFonts w:ascii="Times New Roman" w:cs="Times New Roman" w:eastAsia="Times New Roman" w:hAnsi="Times New Roman"/>
          <w:i w:val="1"/>
          <w:sz w:val="24"/>
          <w:szCs w:val="24"/>
          <w:rtl w:val="0"/>
        </w:rPr>
        <w:t xml:space="preserve">Should Writers Use They Own English</w:t>
      </w:r>
      <w:r w:rsidDel="00000000" w:rsidR="00000000" w:rsidRPr="00000000">
        <w:rPr>
          <w:rFonts w:ascii="Times New Roman" w:cs="Times New Roman" w:eastAsia="Times New Roman" w:hAnsi="Times New Roman"/>
          <w:sz w:val="24"/>
          <w:szCs w:val="24"/>
          <w:rtl w:val="0"/>
        </w:rPr>
        <w:t xml:space="preserve">” by Vershawn Ashanti Young provide engaging and insightful content that establish the basis for exploring the various rhetorical moves writers make in regards to the context of academic writing. These two texts employ writing approaches that </w:t>
      </w:r>
      <w:r w:rsidDel="00000000" w:rsidR="00000000" w:rsidRPr="00000000">
        <w:rPr>
          <w:rFonts w:ascii="Times New Roman" w:cs="Times New Roman" w:eastAsia="Times New Roman" w:hAnsi="Times New Roman"/>
          <w:sz w:val="24"/>
          <w:szCs w:val="24"/>
          <w:rtl w:val="0"/>
        </w:rPr>
        <w:t xml:space="preserve">influence the development of rhetorical moves geared toward making persuasive arguments related to the application of language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However, while the texts share a similarity in their approach to rhetorical moves, they differ in how they engage their persuasive arguments on the basis of focus and perspective. </w:t>
      </w:r>
      <w:r w:rsidDel="00000000" w:rsidR="00000000" w:rsidRPr="00000000">
        <w:rPr>
          <w:rFonts w:ascii="Times New Roman" w:cs="Times New Roman" w:eastAsia="Times New Roman" w:hAnsi="Times New Roman"/>
          <w:sz w:val="24"/>
          <w:szCs w:val="24"/>
          <w:rtl w:val="0"/>
        </w:rPr>
        <w:t xml:space="preserve">For instance, while Ariely and Wertenbroch explore the psychological nature of decision-making and its applicability in writing, Young delves into a discussion that addresses the issue related to language diversity and its impacts on academic writing. Therefore, to develop a broader understanding of the context of rhetorical moves as related to academic writing, this paper provides a comparison and analysis of the two artifact texts. </w:t>
      </w:r>
    </w:p>
    <w:p w:rsidR="00000000" w:rsidDel="00000000" w:rsidP="00000000" w:rsidRDefault="00000000" w:rsidRPr="00000000" w14:paraId="00000007">
      <w:pPr>
        <w:spacing w:after="120" w:line="48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text by Ariely and Wertenbroch characterizes a formal academic paper that explores the issue of self-control by presenting research findings on procrastination and how deadlines can be used in achieving a sense of self-control. In this text, the author employs evidence and data from research to support their argument in an effort to persuade their audience. The introduction of the text features a key rhetorical move, whereby Ariely and Wertenbroch begin by claiming that self-control challenges emerge as a result of an inconsistency in preferences that span across time and context (295). </w:t>
      </w:r>
      <w:r w:rsidDel="00000000" w:rsidR="00000000" w:rsidRPr="00000000">
        <w:rPr>
          <w:rFonts w:ascii="Times New Roman" w:cs="Times New Roman" w:eastAsia="Times New Roman" w:hAnsi="Times New Roman"/>
          <w:sz w:val="24"/>
          <w:szCs w:val="24"/>
          <w:rtl w:val="0"/>
        </w:rPr>
        <w:t xml:space="preserve">This rhetorical move influences a sense of intrigue in the audience, thus capturing their attention since it identifies the underlying psychological factor contributing to procrastination.</w:t>
      </w:r>
      <w:r w:rsidDel="00000000" w:rsidR="00000000" w:rsidRPr="00000000">
        <w:rPr>
          <w:rFonts w:ascii="Times New Roman" w:cs="Times New Roman" w:eastAsia="Times New Roman" w:hAnsi="Times New Roman"/>
          <w:sz w:val="24"/>
          <w:szCs w:val="24"/>
          <w:rtl w:val="0"/>
        </w:rPr>
        <w:t xml:space="preserve"> As such, making an emphasis on the relationship between self-control and inconsistency as related to preferences, the author forms the foundation for their argument as well as setting the stage for an in-depth examination of how deadlines can be capitalized in serving as a tool for overcoming the challenge. </w:t>
      </w:r>
    </w:p>
    <w:p w:rsidR="00000000" w:rsidDel="00000000" w:rsidP="00000000" w:rsidRDefault="00000000" w:rsidRPr="00000000" w14:paraId="00000008">
      <w:pPr>
        <w:spacing w:after="120" w:line="48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Young’s text embodies a conversational, </w:t>
      </w:r>
      <w:r w:rsidDel="00000000" w:rsidR="00000000" w:rsidRPr="00000000">
        <w:rPr>
          <w:rFonts w:ascii="Times New Roman" w:cs="Times New Roman" w:eastAsia="Times New Roman" w:hAnsi="Times New Roman"/>
          <w:sz w:val="24"/>
          <w:szCs w:val="24"/>
          <w:rtl w:val="0"/>
        </w:rPr>
        <w:t xml:space="preserve">impassionate</w:t>
      </w:r>
      <w:r w:rsidDel="00000000" w:rsidR="00000000" w:rsidRPr="00000000">
        <w:rPr>
          <w:rFonts w:ascii="Times New Roman" w:cs="Times New Roman" w:eastAsia="Times New Roman" w:hAnsi="Times New Roman"/>
          <w:sz w:val="24"/>
          <w:szCs w:val="24"/>
          <w:rtl w:val="0"/>
        </w:rPr>
        <w:t xml:space="preserve"> style that illustrates the author’s arguments against the conventional language ideology, and also for code meshing. Much like Ariely, Young introduces their text through a supported claim that cites and immediately forms a critique of Stanley Fish’s argument for standard English instruction. In her critique, Young writes “He say don’t no student have a right to they own language if that language make them “vulnerable to prejudice”; that “it may be true that the standard language is a device for protecting the status quo, but that very truth is a reason for teaching it to students” (61). </w:t>
      </w:r>
      <w:r w:rsidDel="00000000" w:rsidR="00000000" w:rsidRPr="00000000">
        <w:rPr>
          <w:rFonts w:ascii="Times New Roman" w:cs="Times New Roman" w:eastAsia="Times New Roman" w:hAnsi="Times New Roman"/>
          <w:sz w:val="24"/>
          <w:szCs w:val="24"/>
          <w:rtl w:val="0"/>
        </w:rPr>
        <w:t xml:space="preserve">This approach establishes a rhetorical move, that engages a critique of another writer’s claim, by clearly providing a counter-argument that implies standard language ideology contributes to challenges in language diversity by promoting prejudice.</w:t>
      </w:r>
      <w:r w:rsidDel="00000000" w:rsidR="00000000" w:rsidRPr="00000000">
        <w:rPr>
          <w:rFonts w:ascii="Times New Roman" w:cs="Times New Roman" w:eastAsia="Times New Roman" w:hAnsi="Times New Roman"/>
          <w:sz w:val="24"/>
          <w:szCs w:val="24"/>
          <w:rtl w:val="0"/>
        </w:rPr>
        <w:t xml:space="preserve"> Therefore, in both texts, the authors begin by introducing their key concepts and background information, establishing the foundation for their persuasive arguments. </w:t>
      </w:r>
      <w:r w:rsidDel="00000000" w:rsidR="00000000" w:rsidRPr="00000000">
        <w:rPr>
          <w:rFonts w:ascii="Times New Roman" w:cs="Times New Roman" w:eastAsia="Times New Roman" w:hAnsi="Times New Roman"/>
          <w:sz w:val="24"/>
          <w:szCs w:val="24"/>
          <w:rtl w:val="0"/>
        </w:rPr>
        <w:t xml:space="preserve">This approach represents a rhetorical move that many writers utilize in providing their readers with the necessary information that helps them to understand the basis for their argument.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120" w:line="48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Ariel and Wertenbroch use </w:t>
      </w:r>
      <w:r w:rsidDel="00000000" w:rsidR="00000000" w:rsidRPr="00000000">
        <w:rPr>
          <w:rFonts w:ascii="Times New Roman" w:cs="Times New Roman" w:eastAsia="Times New Roman" w:hAnsi="Times New Roman"/>
          <w:sz w:val="24"/>
          <w:szCs w:val="24"/>
          <w:rtl w:val="0"/>
        </w:rPr>
        <w:t xml:space="preserve">vivid hypothetical examples</w:t>
      </w:r>
      <w:r w:rsidDel="00000000" w:rsidR="00000000" w:rsidRPr="00000000">
        <w:rPr>
          <w:rFonts w:ascii="Times New Roman" w:cs="Times New Roman" w:eastAsia="Times New Roman" w:hAnsi="Times New Roman"/>
          <w:sz w:val="24"/>
          <w:szCs w:val="24"/>
          <w:rtl w:val="0"/>
        </w:rPr>
        <w:t xml:space="preserve"> while explaining how differences in preferences can lead to self-control problems. For example, the author describes someone who decides not to order creme brûlée before going to a restaurant but then gives in to the temptation when ordering dessert, only to regret it afterward. Ariely and Wertenbroch further writes, “This type of systematic preference reversal is often described by hyperbolic time discounting (e.g., Ainslie 1975; Kirby 1997; Laibson 1997), under which immediately available rewards have a disproportionate effect on preferences relative to more delayed rewards, causing a time-inconsistent taste for immediate gratification” (295). </w:t>
      </w:r>
      <w:r w:rsidDel="00000000" w:rsidR="00000000" w:rsidRPr="00000000">
        <w:rPr>
          <w:rFonts w:ascii="Times New Roman" w:cs="Times New Roman" w:eastAsia="Times New Roman" w:hAnsi="Times New Roman"/>
          <w:sz w:val="24"/>
          <w:szCs w:val="24"/>
          <w:rtl w:val="0"/>
        </w:rPr>
        <w:t xml:space="preserve">Through the description of such a hypothetical example, the author engages their readers’ imagination by providing them with a relatable scenario that illustrates the concept in a simpler and more concrete way.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use of detailed description helps make the issue feel concrete and personal for readers. Vivid examples like this allow the authors to involve readers in grappling with the ideas being discussed.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120" w:line="48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Young uses </w:t>
      </w:r>
      <w:r w:rsidDel="00000000" w:rsidR="00000000" w:rsidRPr="00000000">
        <w:rPr>
          <w:rFonts w:ascii="Times New Roman" w:cs="Times New Roman" w:eastAsia="Times New Roman" w:hAnsi="Times New Roman"/>
          <w:sz w:val="24"/>
          <w:szCs w:val="24"/>
          <w:rtl w:val="0"/>
        </w:rPr>
        <w:t xml:space="preserve">a rhetorical move based on directly addressing the reader.</w:t>
      </w:r>
      <w:r w:rsidDel="00000000" w:rsidR="00000000" w:rsidRPr="00000000">
        <w:rPr>
          <w:rFonts w:ascii="Times New Roman" w:cs="Times New Roman" w:eastAsia="Times New Roman" w:hAnsi="Times New Roman"/>
          <w:sz w:val="24"/>
          <w:szCs w:val="24"/>
          <w:rtl w:val="0"/>
        </w:rPr>
        <w:t xml:space="preserve"> The direct address forms a conversational and engaging tone, which influences the reader to develop a sense of connection to the author's arguments. For instance, the author writes “Check this out” (Young, 64) while providing an example, which invites the reader to engage and participate in the argument presented. Moreover, the use of the word ‘you’ such as in the statement “If you look at it from Fish view, yeah it mean that. But if you look at it from my view, it most certainly don’t mean that” (Young, 64) </w:t>
      </w:r>
      <w:r w:rsidDel="00000000" w:rsidR="00000000" w:rsidRPr="00000000">
        <w:rPr>
          <w:rFonts w:ascii="Times New Roman" w:cs="Times New Roman" w:eastAsia="Times New Roman" w:hAnsi="Times New Roman"/>
          <w:sz w:val="24"/>
          <w:szCs w:val="24"/>
          <w:rtl w:val="0"/>
        </w:rPr>
        <w:t xml:space="preserve">directly involves the reader, making them feel a sense of personal investment in the author’s perspective.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Through this academic writing technique, the author not only captures the reader’s attention but also empowers them to form a critical analysis of their opinion and take into consideration other available perspectives.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such, with this careful approach to engaging the reader, Young develops a dynamic and interactive reading experience that not only challenges them intellectually but also engages them.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20" w:line="480" w:lineRule="auto"/>
        <w:ind w:firstLine="54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both texts, the authors employ various rhetorical moves that inform and influence the reader’s engagement and connection. Nevertheless, while Ariely and Wertenbroch employ a fairy-neutral and academic-oriented tone across their text, Young utilizes a considerably different approach. In their text, as they critique Fish’s claim that using standard language provides an effective tool for preserving the status quo, Young uses colorful vernacular language as a basis for the criticism and also as a means of influencing an emotional response. Moreover, while there are similarities in how the texts engage different rhetorical moves, the approaches differ in how they draw on various evidence to build their arguments.  Ariely and Wertenbroch based their arguments on evidence from qualitative data acquired through experiments to persuade their readers on the effective nature of deadlines in combating procrastination. Contrastingly, Young deploys examples involving code meshing within the context of modern language to inform and support their critique of Fish’s perspective. This approach, thus illustrates how code meshing has permeated into society’s use of language both in written and verbal contexts. </w:t>
      </w: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Works Cited</w:t>
      </w:r>
    </w:p>
    <w:p w:rsidR="00000000" w:rsidDel="00000000" w:rsidP="00000000" w:rsidRDefault="00000000" w:rsidRPr="00000000" w14:paraId="0000000D">
      <w:pPr>
        <w:spacing w:line="480" w:lineRule="auto"/>
        <w:ind w:left="1080" w:hanging="54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Ariely, Dan, and Klaus Wertenbroch. “Procrastination, Deadlines, and Performance: Self-Control by Precommitment.” </w:t>
      </w:r>
      <w:r w:rsidDel="00000000" w:rsidR="00000000" w:rsidRPr="00000000">
        <w:rPr>
          <w:rFonts w:ascii="Times New Roman" w:cs="Times New Roman" w:eastAsia="Times New Roman" w:hAnsi="Times New Roman"/>
          <w:i w:val="1"/>
          <w:sz w:val="18"/>
          <w:szCs w:val="18"/>
          <w:rtl w:val="0"/>
        </w:rPr>
        <w:t xml:space="preserve">Psychological Science</w:t>
      </w:r>
      <w:r w:rsidDel="00000000" w:rsidR="00000000" w:rsidRPr="00000000">
        <w:rPr>
          <w:rFonts w:ascii="Times New Roman" w:cs="Times New Roman" w:eastAsia="Times New Roman" w:hAnsi="Times New Roman"/>
          <w:sz w:val="18"/>
          <w:szCs w:val="18"/>
          <w:rtl w:val="0"/>
        </w:rPr>
        <w:t xml:space="preserve">, vol. 13, no. 3, May 2002, pp. 219–224, https://doi.org/10.1111/1467-9280.00441.</w:t>
      </w:r>
    </w:p>
    <w:p w:rsidR="00000000" w:rsidDel="00000000" w:rsidP="00000000" w:rsidRDefault="00000000" w:rsidRPr="00000000" w14:paraId="0000000E">
      <w:pPr>
        <w:spacing w:line="480" w:lineRule="auto"/>
        <w:ind w:left="1080" w:hanging="54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Young, Vershawn Ashanti. “Should Writers Use They Own English?” </w:t>
      </w:r>
      <w:r w:rsidDel="00000000" w:rsidR="00000000" w:rsidRPr="00000000">
        <w:rPr>
          <w:rFonts w:ascii="Times New Roman" w:cs="Times New Roman" w:eastAsia="Times New Roman" w:hAnsi="Times New Roman"/>
          <w:i w:val="1"/>
          <w:sz w:val="18"/>
          <w:szCs w:val="18"/>
          <w:rtl w:val="0"/>
        </w:rPr>
        <w:t xml:space="preserve">Iowa Journal of Cultural Studies</w:t>
      </w:r>
      <w:r w:rsidDel="00000000" w:rsidR="00000000" w:rsidRPr="00000000">
        <w:rPr>
          <w:rFonts w:ascii="Times New Roman" w:cs="Times New Roman" w:eastAsia="Times New Roman" w:hAnsi="Times New Roman"/>
          <w:sz w:val="18"/>
          <w:szCs w:val="18"/>
          <w:rtl w:val="0"/>
        </w:rPr>
        <w:t xml:space="preserve">, vol. 12, no. 1, 2010, pp. 61–72, web.colby.edu/writers-center/files/2022/08/Young_2014.pdf, https://doi.org/10.17077/2168-569x.1095.</w:t>
      </w:r>
    </w:p>
    <w:p w:rsidR="00000000" w:rsidDel="00000000" w:rsidP="00000000" w:rsidRDefault="00000000" w:rsidRPr="00000000" w14:paraId="0000000F">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