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ED1C24"/>
          <w:sz w:val="40"/>
        </w:rPr>
        <w:t>STARLAB Unit 4 Overview and Preparation</w:t>
      </w:r>
    </w:p>
    <w:p>
      <w:r>
        <w:rPr>
          <w:rFonts w:ascii="Aptos" w:hAnsi="Aptos"/>
          <w:color w:val="505050"/>
          <w:sz w:val="20"/>
        </w:rPr>
        <w:t>Data Analysis and Interpretation • Weeks 17–20</w:t>
      </w:r>
    </w:p>
    <w:p>
      <w:pPr>
        <w:spacing w:after="120"/>
      </w:pPr>
      <w:r/>
    </w:p>
    <w:p>
      <w:pPr>
        <w:pStyle w:val="Heading1"/>
      </w:pPr>
      <w:r>
        <w:t>STARLAB Unit 4 Teacher Guide</w:t>
      </w:r>
    </w:p>
    <w:p>
      <w:pPr>
        <w:pStyle w:val="Heading2"/>
      </w:pPr>
      <w:r>
        <w:t>Data Analysis and Interpretation</w:t>
      </w:r>
    </w:p>
    <w:p>
      <w:pPr>
        <w:pStyle w:val="Heading3"/>
      </w:pPr>
      <w:r>
        <w:t>Weeks 17–20</w:t>
      </w:r>
    </w:p>
    <w:p/>
    <w:p>
      <w:r>
        <w:t>Course: Science Through Advanced Research, Learning, Application, and Building (STARLAB)</w:t>
        <w:br/>
        <w:t>Unit Length: 4 weeks</w:t>
        <w:br/>
        <w:t>Recommended Grade Level: 11–12</w:t>
        <w:br/>
        <w:t>Primary Unit Products: Clean data set, data analysis plan, statistical or quantitative analysis, finalized analysis graphs, uncertainty/error review, interpretation notes, claim-evidence-reasoning organizer, Unit 4 analysis summary</w:t>
      </w:r>
    </w:p>
    <w:p/>
    <w:p>
      <w:pPr>
        <w:pStyle w:val="Heading1"/>
      </w:pPr>
      <w:r>
        <w:t>Unit Overview</w:t>
      </w:r>
    </w:p>
    <w:p/>
    <w:p>
      <w:r>
        <w:t>Unit 4 moves students from data collection to meaning-making. Students organize, clean, analyze, visualize, and interpret the data or evidence collected during Unit 3. The goal is not simply to make graphs or calculate averages. The goal is to help students determine what their evidence can reasonably support.</w:t>
      </w:r>
    </w:p>
    <w:p/>
    <w:p>
      <w:r>
        <w:t>During this unit, students learn to distinguish between raw data, processed data, visualized data, and interpreted data. They consider patterns, trends, variability, uncertainty, limitations, and possible sources of error. Students also begin connecting their results back to the original research question, hypothesis, engineering design criteria, or project goal.</w:t>
      </w:r>
    </w:p>
    <w:p/>
    <w:p>
      <w:r>
        <w:t>By the end of Unit 4, students should have a cleaned and organized data set, appropriate graphs or visuals, a basic analysis of their evidence, and a preliminary interpretation that will later become the foundation of their scientific report and presentation.</w:t>
      </w:r>
    </w:p>
    <w:p/>
    <w:p>
      <w:pPr>
        <w:pStyle w:val="Heading1"/>
      </w:pPr>
      <w:r>
        <w:t>Unit Rationale</w:t>
      </w:r>
    </w:p>
    <w:p/>
    <w:p>
      <w:r>
        <w:t>Data do not speak for themselves. Students must learn how to organize evidence, choose appropriate analysis methods, represent results accurately, and avoid overstating conclusions. Unit 4 is where students begin to shift from “what happened” to “what the evidence suggests.”</w:t>
      </w:r>
    </w:p>
    <w:p/>
    <w:p>
      <w:r>
        <w:t>This is also the unit where students confront the limitations of their work. Some students may have incomplete data, unexpected results, failed trials, inconsistent measurements, or prototypes that did not meet design criteria. These issues should not be hidden. Instead, students should learn to analyze what their evidence does and does not support.</w:t>
      </w:r>
    </w:p>
    <w:p/>
    <w:p>
      <w:r>
        <w:t>A strong Unit 4 experience teaches students that scientific interpretation requires both confidence and humility: confidence in well-supported claims, and humility about uncertainty, error, and limitations.</w:t>
      </w:r>
    </w:p>
    <w:p/>
    <w:p>
      <w:pPr>
        <w:pStyle w:val="Heading1"/>
      </w:pPr>
      <w:r>
        <w:t>Essential Questions</w:t>
      </w:r>
    </w:p>
    <w:p/>
    <w:p>
      <w:r>
        <w:t>How can raw data be organized into a form that supports analysis?</w:t>
      </w:r>
    </w:p>
    <w:p/>
    <w:p>
      <w:r>
        <w:t>What patterns, trends, relationships, or differences appear in the evidence?</w:t>
      </w:r>
    </w:p>
    <w:p/>
    <w:p>
      <w:r>
        <w:t>Which calculations, statistics, graphs, or models are appropriate for the project?</w:t>
      </w:r>
    </w:p>
    <w:p/>
    <w:p>
      <w:r>
        <w:t>How do uncertainty, error, variability, and limitations affect interpretation?</w:t>
      </w:r>
    </w:p>
    <w:p/>
    <w:p>
      <w:r>
        <w:t>What claims are supported by the data, and what claims would go beyond the evidence?</w:t>
      </w:r>
    </w:p>
    <w:p/>
    <w:p>
      <w:r>
        <w:t>How can students connect analysis back to the original research question, hypothesis, or design goal?</w:t>
      </w:r>
    </w:p>
    <w:p/>
    <w:p>
      <w:pPr>
        <w:pStyle w:val="Heading1"/>
      </w:pPr>
      <w:r>
        <w:t>Unit Learning Outcomes</w:t>
      </w:r>
    </w:p>
    <w:p/>
    <w:p>
      <w:r>
        <w:t>By the end of Unit 4, students will be able to:</w:t>
      </w:r>
    </w:p>
    <w:p/>
    <w:p>
      <w:r>
        <w:t>Organize raw data into a clean data set while preserving original records.</w:t>
      </w:r>
    </w:p>
    <w:p/>
    <w:p>
      <w:r>
        <w:t>Identify and label missing, questionable, incomplete, or excluded data.</w:t>
      </w:r>
    </w:p>
    <w:p/>
    <w:p>
      <w:r>
        <w:t>Choose appropriate calculations, statistics, or analysis methods for their project.</w:t>
      </w:r>
    </w:p>
    <w:p/>
    <w:p>
      <w:r>
        <w:t>Create graphs, tables, images, diagrams, or other visuals that accurately represent findings.</w:t>
      </w:r>
    </w:p>
    <w:p/>
    <w:p>
      <w:r>
        <w:t>Describe patterns, trends, relationships, comparisons, or performance outcomes in data.</w:t>
      </w:r>
    </w:p>
    <w:p/>
    <w:p>
      <w:r>
        <w:t>Evaluate variability, uncertainty, sources of error, and limitations.</w:t>
      </w:r>
    </w:p>
    <w:p/>
    <w:p>
      <w:r>
        <w:t>Make evidence-based claims using appropriate scientific caution.</w:t>
      </w:r>
    </w:p>
    <w:p/>
    <w:p>
      <w:r>
        <w:t>Connect findings to the original hypothesis, research question, engineering goal, or design criteria.</w:t>
      </w:r>
    </w:p>
    <w:p/>
    <w:p>
      <w:r>
        <w:t>Prepare organized analysis materials for use in the scientific report and presentation.</w:t>
      </w:r>
    </w:p>
    <w:p/>
    <w:p>
      <w:pPr>
        <w:pStyle w:val="Heading1"/>
      </w:pPr>
      <w:r>
        <w:t>Recommended Unit Products</w:t>
      </w:r>
    </w:p>
    <w:p/>
    <w:p>
      <w:r>
        <w:t>Each student should complete the following by the end of the unit:</w:t>
      </w:r>
    </w:p>
    <w:p/>
    <w:p>
      <w:r>
        <w:t>Clean data set or organized evidence folder</w:t>
      </w:r>
    </w:p>
    <w:p/>
    <w:p>
      <w:r>
        <w:t>Data analysis plan</w:t>
      </w:r>
    </w:p>
    <w:p/>
    <w:p>
      <w:r>
        <w:t>Calculation/statistics worksheet or analysis notes</w:t>
      </w:r>
    </w:p>
    <w:p/>
    <w:p>
      <w:r>
        <w:t>Draft graphs, tables, or visuals</w:t>
      </w:r>
    </w:p>
    <w:p/>
    <w:p>
      <w:r>
        <w:t>Final analysis figures with captions or notes</w:t>
      </w:r>
    </w:p>
    <w:p/>
    <w:p>
      <w:r>
        <w:t>Error, uncertainty, and limitations review</w:t>
      </w:r>
    </w:p>
    <w:p/>
    <w:p>
      <w:r>
        <w:t>Claim-evidence-reasoning organizer</w:t>
      </w:r>
    </w:p>
    <w:p/>
    <w:p>
      <w:r>
        <w:t>Interpretation summary</w:t>
      </w:r>
    </w:p>
    <w:p/>
    <w:p>
      <w:r>
        <w:t>Unit 4 analysis summary</w:t>
      </w:r>
    </w:p>
    <w:p/>
    <w:p>
      <w:r>
        <w:t>Teacher conference or analysis review checkpoint</w:t>
      </w:r>
    </w:p>
    <w:p/>
    <w:p>
      <w:pPr>
        <w:pStyle w:val="Heading1"/>
      </w:pPr>
      <w:r>
        <w:t>Suggested Assessment Categories</w:t>
      </w:r>
    </w:p>
    <w:p/>
    <w:p>
      <w:r>
        <w:t>These percentages are optional local within-unit scoring suggestions, not course gradebook weights. Record the listed data cleaning, analysis, visual, uncertainty, and interpretation evidence under Data Analysis and Interpretation. The six syllabus weights remain authoritative.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D1C24"/>
          </w:tcPr>
          <w:p>
            <w:r>
              <w:rPr>
                <w:rFonts w:ascii="Aptos" w:hAnsi="Aptos"/>
                <w:b/>
                <w:color w:val="FFFFFF"/>
                <w:sz w:val="18"/>
              </w:rPr>
              <w:t>Assessment Component</w:t>
            </w:r>
          </w:p>
        </w:tc>
        <w:tc>
          <w:tcPr>
            <w:tcW w:type="dxa" w:w="5184"/>
            <w:vAlign w:val="top"/>
            <w:shd w:fill="ED1C24"/>
          </w:tcPr>
          <w:p>
            <w:r>
              <w:rPr>
                <w:rFonts w:ascii="Aptos" w:hAnsi="Aptos"/>
                <w:b/>
                <w:color w:val="FFFFFF"/>
                <w:sz w:val="18"/>
              </w:rPr>
              <w:t>Suggested Weight</w:t>
            </w:r>
          </w:p>
        </w:tc>
        <w:trPr>
          <w:tblHeader/>
        </w:trPr>
      </w:tr>
      <w:tr>
        <w:tc>
          <w:tcPr>
            <w:tcW w:type="dxa" w:w="5184"/>
            <w:vAlign w:val="top"/>
          </w:tcPr>
          <w:p>
            <w:r>
              <w:rPr>
                <w:rFonts w:ascii="Aptos" w:hAnsi="Aptos"/>
                <w:sz w:val="18"/>
              </w:rPr>
              <w:t>Clean Data Set and Organization</w:t>
            </w:r>
          </w:p>
        </w:tc>
        <w:tc>
          <w:tcPr>
            <w:tcW w:type="dxa" w:w="5184"/>
            <w:vAlign w:val="top"/>
          </w:tcPr>
          <w:p>
            <w:r>
              <w:rPr>
                <w:rFonts w:ascii="Aptos" w:hAnsi="Aptos"/>
                <w:sz w:val="18"/>
              </w:rPr>
              <w:t>15%</w:t>
            </w:r>
          </w:p>
        </w:tc>
      </w:tr>
      <w:tr>
        <w:tc>
          <w:tcPr>
            <w:tcW w:type="dxa" w:w="5184"/>
            <w:vAlign w:val="top"/>
          </w:tcPr>
          <w:p>
            <w:r>
              <w:rPr>
                <w:rFonts w:ascii="Aptos" w:hAnsi="Aptos"/>
                <w:sz w:val="18"/>
              </w:rPr>
              <w:t>Data Analysis Plan</w:t>
            </w:r>
          </w:p>
        </w:tc>
        <w:tc>
          <w:tcPr>
            <w:tcW w:type="dxa" w:w="5184"/>
            <w:vAlign w:val="top"/>
          </w:tcPr>
          <w:p>
            <w:r>
              <w:rPr>
                <w:rFonts w:ascii="Aptos" w:hAnsi="Aptos"/>
                <w:sz w:val="18"/>
              </w:rPr>
              <w:t>10%</w:t>
            </w:r>
          </w:p>
        </w:tc>
      </w:tr>
      <w:tr>
        <w:tc>
          <w:tcPr>
            <w:tcW w:type="dxa" w:w="5184"/>
            <w:vAlign w:val="top"/>
          </w:tcPr>
          <w:p>
            <w:r>
              <w:rPr>
                <w:rFonts w:ascii="Aptos" w:hAnsi="Aptos"/>
                <w:sz w:val="18"/>
              </w:rPr>
              <w:t>Calculations, Statistics, or Analysis Notes</w:t>
            </w:r>
          </w:p>
        </w:tc>
        <w:tc>
          <w:tcPr>
            <w:tcW w:type="dxa" w:w="5184"/>
            <w:vAlign w:val="top"/>
          </w:tcPr>
          <w:p>
            <w:r>
              <w:rPr>
                <w:rFonts w:ascii="Aptos" w:hAnsi="Aptos"/>
                <w:sz w:val="18"/>
              </w:rPr>
              <w:t>20%</w:t>
            </w:r>
          </w:p>
        </w:tc>
      </w:tr>
      <w:tr>
        <w:tc>
          <w:tcPr>
            <w:tcW w:type="dxa" w:w="5184"/>
            <w:vAlign w:val="top"/>
          </w:tcPr>
          <w:p>
            <w:r>
              <w:rPr>
                <w:rFonts w:ascii="Aptos" w:hAnsi="Aptos"/>
                <w:sz w:val="18"/>
              </w:rPr>
              <w:t>Graphs, Tables, and Visuals</w:t>
            </w:r>
          </w:p>
        </w:tc>
        <w:tc>
          <w:tcPr>
            <w:tcW w:type="dxa" w:w="5184"/>
            <w:vAlign w:val="top"/>
          </w:tcPr>
          <w:p>
            <w:r>
              <w:rPr>
                <w:rFonts w:ascii="Aptos" w:hAnsi="Aptos"/>
                <w:sz w:val="18"/>
              </w:rPr>
              <w:t>20%</w:t>
            </w:r>
          </w:p>
        </w:tc>
      </w:tr>
      <w:tr>
        <w:tc>
          <w:tcPr>
            <w:tcW w:type="dxa" w:w="5184"/>
            <w:vAlign w:val="top"/>
          </w:tcPr>
          <w:p>
            <w:r>
              <w:rPr>
                <w:rFonts w:ascii="Aptos" w:hAnsi="Aptos"/>
                <w:sz w:val="18"/>
              </w:rPr>
              <w:t>Error, Uncertainty, and Limitations Review</w:t>
            </w:r>
          </w:p>
        </w:tc>
        <w:tc>
          <w:tcPr>
            <w:tcW w:type="dxa" w:w="5184"/>
            <w:vAlign w:val="top"/>
          </w:tcPr>
          <w:p>
            <w:r>
              <w:rPr>
                <w:rFonts w:ascii="Aptos" w:hAnsi="Aptos"/>
                <w:sz w:val="18"/>
              </w:rPr>
              <w:t>15%</w:t>
            </w:r>
          </w:p>
        </w:tc>
      </w:tr>
      <w:tr>
        <w:tc>
          <w:tcPr>
            <w:tcW w:type="dxa" w:w="5184"/>
            <w:vAlign w:val="top"/>
          </w:tcPr>
          <w:p>
            <w:r>
              <w:rPr>
                <w:rFonts w:ascii="Aptos" w:hAnsi="Aptos"/>
                <w:sz w:val="18"/>
              </w:rPr>
              <w:t>Claim-Evidence-Reasoning Interpretation</w:t>
            </w:r>
          </w:p>
        </w:tc>
        <w:tc>
          <w:tcPr>
            <w:tcW w:type="dxa" w:w="5184"/>
            <w:vAlign w:val="top"/>
          </w:tcPr>
          <w:p>
            <w:r>
              <w:rPr>
                <w:rFonts w:ascii="Aptos" w:hAnsi="Aptos"/>
                <w:sz w:val="18"/>
              </w:rPr>
              <w:t>10%</w:t>
            </w:r>
          </w:p>
        </w:tc>
      </w:tr>
      <w:tr>
        <w:tc>
          <w:tcPr>
            <w:tcW w:type="dxa" w:w="5184"/>
            <w:vAlign w:val="top"/>
          </w:tcPr>
          <w:p>
            <w:r>
              <w:rPr>
                <w:rFonts w:ascii="Aptos" w:hAnsi="Aptos"/>
                <w:sz w:val="18"/>
              </w:rPr>
              <w:t>Unit 4 Analysis Summary</w:t>
            </w:r>
          </w:p>
        </w:tc>
        <w:tc>
          <w:tcPr>
            <w:tcW w:type="dxa" w:w="5184"/>
            <w:vAlign w:val="top"/>
          </w:tcPr>
          <w:p>
            <w:r>
              <w:rPr>
                <w:rFonts w:ascii="Aptos" w:hAnsi="Aptos"/>
                <w:sz w:val="18"/>
              </w:rPr>
              <w:t>10%</w:t>
            </w:r>
          </w:p>
        </w:tc>
      </w:tr>
    </w:tbl>
    <w:p/>
    <w:p/>
    <w:p>
      <w:pPr>
        <w:pStyle w:val="Heading1"/>
      </w:pPr>
      <w:r>
        <w:t>Teacher Preparation Before the Unit</w:t>
      </w:r>
    </w:p>
    <w:p/>
    <w:p>
      <w:r>
        <w:t>Before beginning Unit 4, the teacher should prepare the following:</w:t>
      </w:r>
    </w:p>
    <w:p/>
    <w:p>
      <w:r>
        <w:t>Student data sets or evidence folders from Unit 3</w:t>
      </w:r>
    </w:p>
    <w:p/>
    <w:p>
      <w:r>
        <w:t>Access to spreadsheet software such as Google Sheets or Excel</w:t>
      </w:r>
    </w:p>
    <w:p/>
    <w:p>
      <w:r>
        <w:t>Graphing and data visualization examples</w:t>
      </w:r>
    </w:p>
    <w:p/>
    <w:p>
      <w:r>
        <w:t>Basic statistics reference materials</w:t>
      </w:r>
    </w:p>
    <w:p/>
    <w:p>
      <w:r>
        <w:t>Examples of strong and weak graphs</w:t>
      </w:r>
    </w:p>
    <w:p/>
    <w:p>
      <w:r>
        <w:t>Clean data set templates</w:t>
      </w:r>
    </w:p>
    <w:p/>
    <w:p>
      <w:r>
        <w:t>Analysis planning handouts</w:t>
      </w:r>
    </w:p>
    <w:p/>
    <w:p>
      <w:r>
        <w:t>Error and uncertainty scaffolds</w:t>
      </w:r>
    </w:p>
    <w:p/>
    <w:p>
      <w:r>
        <w:t>Claim-evidence-reasoning templates</w:t>
      </w:r>
    </w:p>
    <w:p/>
    <w:p>
      <w:r>
        <w:t>Conference schedule for analysis check-ins</w:t>
      </w:r>
    </w:p>
    <w:p/>
    <w:p>
      <w:r>
        <w:t>Teachers should be prepared for wide variation in project types. Some students may need averages, percent change, standard deviation, or linear regression. Others may need prototype performance comparisons, qualitative coding, image analysis, model accuracy, field observation summaries, or engineering tradeoff analysis.</w:t>
      </w:r>
    </w:p>
    <w:p/>
    <w:p>
      <w:r>
        <w:t>The teacher does not need to be an expert in every statistical method. The teacher’s primary role is to help students choose analysis methods that are appropriate, honest, and understandable.</w:t>
      </w:r>
    </w:p>
    <w:p/>
    <w:p>
      <w:pPr>
        <w:pStyle w:val="Heading1"/>
      </w:pPr>
      <w:r>
        <w:t>Recommended Classroom Norms for This Unit</w:t>
      </w:r>
    </w:p>
    <w:p/>
    <w:p>
      <w:r>
        <w:t>Raw data must be preserved.</w:t>
      </w:r>
    </w:p>
    <w:p/>
    <w:p>
      <w:r>
        <w:t>Clean data should be clearly separated from raw data.</w:t>
      </w:r>
    </w:p>
    <w:p/>
    <w:p>
      <w:r>
        <w:t>Graphs should clarify, not decorate.</w:t>
      </w:r>
    </w:p>
    <w:p/>
    <w:p>
      <w:r>
        <w:t>Unusual results should be investigated, not automatically deleted.</w:t>
      </w:r>
    </w:p>
    <w:p/>
    <w:p>
      <w:r>
        <w:t>Conclusions should match the strength of the evidence.</w:t>
      </w:r>
    </w:p>
    <w:p/>
    <w:p>
      <w:r>
        <w:t>Limitations are part of good science.</w:t>
      </w:r>
    </w:p>
    <w:p/>
    <w:p>
      <w:r>
        <w:t>Students should use precise language: “suggests,” “supports,” “indicates,” “under these conditions.”</w:t>
      </w:r>
    </w:p>
    <w:p/>
    <w:p>
      <w:r>
        <w:t>A result that does not support the hypothesis can still produce a strong project.</w:t>
      </w:r>
    </w:p>
    <w:p/>
    <w:p>
      <w:r>
        <w:t>Analysis choices must be explainable.</w:t>
      </w:r>
    </w:p>
    <w:p/>
    <w:p>
      <w:r>
        <w:t>Every graph or statistic should serve the research question.</w:t>
      </w:r>
    </w:p>
    <w:p/>
    <w:p>
      <w:pPr>
        <w:pStyle w:val="Heading1"/>
      </w:pPr>
      <w:r>
        <w:t>Unit Pacing at a Glance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D1C24"/>
          </w:tcPr>
          <w:p>
            <w:r>
              <w:rPr>
                <w:rFonts w:ascii="Aptos" w:hAnsi="Aptos"/>
                <w:b/>
                <w:color w:val="FFFFFF"/>
                <w:sz w:val="18"/>
              </w:rPr>
              <w:t>Week</w:t>
            </w:r>
          </w:p>
        </w:tc>
        <w:tc>
          <w:tcPr>
            <w:tcW w:type="dxa" w:w="3456"/>
            <w:vAlign w:val="top"/>
            <w:shd w:fill="ED1C24"/>
          </w:tcPr>
          <w:p>
            <w:r>
              <w:rPr>
                <w:rFonts w:ascii="Aptos" w:hAnsi="Aptos"/>
                <w:b/>
                <w:color w:val="FFFFFF"/>
                <w:sz w:val="18"/>
              </w:rPr>
              <w:t>Focus</w:t>
            </w:r>
          </w:p>
        </w:tc>
        <w:tc>
          <w:tcPr>
            <w:tcW w:type="dxa" w:w="3456"/>
            <w:vAlign w:val="top"/>
            <w:shd w:fill="ED1C24"/>
          </w:tcPr>
          <w:p>
            <w:r>
              <w:rPr>
                <w:rFonts w:ascii="Aptos" w:hAnsi="Aptos"/>
                <w:b/>
                <w:color w:val="FFFFFF"/>
                <w:sz w:val="18"/>
              </w:rPr>
              <w:t>Major Student Product</w:t>
            </w:r>
          </w:p>
        </w:tc>
        <w:trPr>
          <w:tblHeader/>
        </w:trPr>
      </w:tr>
      <w:tr>
        <w:tc>
          <w:tcPr>
            <w:tcW w:type="dxa" w:w="3456"/>
            <w:vAlign w:val="top"/>
          </w:tcPr>
          <w:p>
            <w:r>
              <w:rPr>
                <w:rFonts w:ascii="Aptos" w:hAnsi="Aptos"/>
                <w:sz w:val="18"/>
              </w:rPr>
              <w:t>Week 17</w:t>
            </w:r>
          </w:p>
        </w:tc>
        <w:tc>
          <w:tcPr>
            <w:tcW w:type="dxa" w:w="3456"/>
            <w:vAlign w:val="top"/>
          </w:tcPr>
          <w:p>
            <w:r>
              <w:rPr>
                <w:rFonts w:ascii="Aptos" w:hAnsi="Aptos"/>
                <w:sz w:val="18"/>
              </w:rPr>
              <w:t>Data organization and cleaning</w:t>
            </w:r>
          </w:p>
        </w:tc>
        <w:tc>
          <w:tcPr>
            <w:tcW w:type="dxa" w:w="3456"/>
            <w:vAlign w:val="top"/>
          </w:tcPr>
          <w:p>
            <w:r>
              <w:rPr>
                <w:rFonts w:ascii="Aptos" w:hAnsi="Aptos"/>
                <w:sz w:val="18"/>
              </w:rPr>
              <w:t>Clean data set and data audit</w:t>
            </w:r>
          </w:p>
        </w:tc>
      </w:tr>
      <w:tr>
        <w:tc>
          <w:tcPr>
            <w:tcW w:type="dxa" w:w="3456"/>
            <w:vAlign w:val="top"/>
          </w:tcPr>
          <w:p>
            <w:r>
              <w:rPr>
                <w:rFonts w:ascii="Aptos" w:hAnsi="Aptos"/>
                <w:sz w:val="18"/>
              </w:rPr>
              <w:t>Week 18</w:t>
            </w:r>
          </w:p>
        </w:tc>
        <w:tc>
          <w:tcPr>
            <w:tcW w:type="dxa" w:w="3456"/>
            <w:vAlign w:val="top"/>
          </w:tcPr>
          <w:p>
            <w:r>
              <w:rPr>
                <w:rFonts w:ascii="Aptos" w:hAnsi="Aptos"/>
                <w:sz w:val="18"/>
              </w:rPr>
              <w:t>Calculations, statistics, and analysis methods</w:t>
            </w:r>
          </w:p>
        </w:tc>
        <w:tc>
          <w:tcPr>
            <w:tcW w:type="dxa" w:w="3456"/>
            <w:vAlign w:val="top"/>
          </w:tcPr>
          <w:p>
            <w:r>
              <w:rPr>
                <w:rFonts w:ascii="Aptos" w:hAnsi="Aptos"/>
                <w:sz w:val="18"/>
              </w:rPr>
              <w:t>Data analysis plan and analysis notes</w:t>
            </w:r>
          </w:p>
        </w:tc>
      </w:tr>
      <w:tr>
        <w:tc>
          <w:tcPr>
            <w:tcW w:type="dxa" w:w="3456"/>
            <w:vAlign w:val="top"/>
          </w:tcPr>
          <w:p>
            <w:r>
              <w:rPr>
                <w:rFonts w:ascii="Aptos" w:hAnsi="Aptos"/>
                <w:sz w:val="18"/>
              </w:rPr>
              <w:t>Week 19</w:t>
            </w:r>
          </w:p>
        </w:tc>
        <w:tc>
          <w:tcPr>
            <w:tcW w:type="dxa" w:w="3456"/>
            <w:vAlign w:val="top"/>
          </w:tcPr>
          <w:p>
            <w:r>
              <w:rPr>
                <w:rFonts w:ascii="Aptos" w:hAnsi="Aptos"/>
                <w:sz w:val="18"/>
              </w:rPr>
              <w:t>Graphs, tables, visuals, and error/uncertainty</w:t>
            </w:r>
          </w:p>
        </w:tc>
        <w:tc>
          <w:tcPr>
            <w:tcW w:type="dxa" w:w="3456"/>
            <w:vAlign w:val="top"/>
          </w:tcPr>
          <w:p>
            <w:r>
              <w:rPr>
                <w:rFonts w:ascii="Aptos" w:hAnsi="Aptos"/>
                <w:sz w:val="18"/>
              </w:rPr>
              <w:t>Analysis figures and limitations review</w:t>
            </w:r>
          </w:p>
        </w:tc>
      </w:tr>
      <w:tr>
        <w:tc>
          <w:tcPr>
            <w:tcW w:type="dxa" w:w="3456"/>
            <w:vAlign w:val="top"/>
          </w:tcPr>
          <w:p>
            <w:r>
              <w:rPr>
                <w:rFonts w:ascii="Aptos" w:hAnsi="Aptos"/>
                <w:sz w:val="18"/>
              </w:rPr>
              <w:t>Week 20</w:t>
            </w:r>
          </w:p>
        </w:tc>
        <w:tc>
          <w:tcPr>
            <w:tcW w:type="dxa" w:w="3456"/>
            <w:vAlign w:val="top"/>
          </w:tcPr>
          <w:p>
            <w:r>
              <w:rPr>
                <w:rFonts w:ascii="Aptos" w:hAnsi="Aptos"/>
                <w:sz w:val="18"/>
              </w:rPr>
              <w:t>Interpretation and transition to reporting</w:t>
            </w:r>
          </w:p>
        </w:tc>
        <w:tc>
          <w:tcPr>
            <w:tcW w:type="dxa" w:w="3456"/>
            <w:vAlign w:val="top"/>
          </w:tcPr>
          <w:p>
            <w:r>
              <w:rPr>
                <w:rFonts w:ascii="Aptos" w:hAnsi="Aptos"/>
                <w:sz w:val="18"/>
              </w:rPr>
              <w:t>Claim-evidence-reasoning organizer and Unit 4 analysis summary</w:t>
            </w:r>
          </w:p>
        </w:tc>
      </w:tr>
    </w:tbl>
    <w:p/>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STARLAB Unit 4  •  Data Analysis and Interpretation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D1C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STARLAB</dc:creator>
  <cp:keywords/>
  <dc:description>generated by python-docx</dc:description>
  <cp:lastModifiedBy/>
  <cp:revision>1</cp:revision>
  <dcterms:created xsi:type="dcterms:W3CDTF">2013-12-23T23:15:00Z</dcterms:created>
  <dcterms:modified xsi:type="dcterms:W3CDTF">2013-12-23T23:15:00Z</dcterms:modified>
  <cp:category>STARLAB Curriculum</cp:category>
</cp:coreProperties>
</file>