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STARLAB</w:t>
      </w:r>
    </w:p>
    <w:p>
      <w:pPr>
        <w:jc w:val="center"/>
      </w:pPr>
      <w:r>
        <w:rPr>
          <w:b/>
          <w:sz w:val="36"/>
        </w:rPr>
        <w:t>Unit 6 Overview and Preparation</w:t>
      </w:r>
    </w:p>
    <w:p>
      <w:pPr>
        <w:jc w:val="center"/>
      </w:pPr>
      <w:r>
        <w:rPr>
          <w:i/>
          <w:sz w:val="20"/>
        </w:rPr>
        <w:t>Project Presentation and Reflection • Weeks 29–34</w:t>
      </w:r>
    </w:p>
    <w:p/>
    <w:p>
      <w:pPr>
        <w:pStyle w:val="Heading1"/>
      </w:pPr>
      <w:r>
        <w:rPr>
          <w:b/>
        </w:rPr>
        <w:t>STARLAB Unit 6 Teacher Guide</w:t>
      </w:r>
    </w:p>
    <w:p>
      <w:pPr>
        <w:pStyle w:val="Heading2"/>
      </w:pPr>
      <w:r>
        <w:rPr>
          <w:b/>
        </w:rPr>
        <w:t>Project Presentation and Reflection</w:t>
      </w:r>
    </w:p>
    <w:p>
      <w:pPr>
        <w:pStyle w:val="Heading3"/>
      </w:pPr>
      <w:r>
        <w:rPr>
          <w:b/>
        </w:rPr>
        <w:t>Weeks 29–34</w:t>
      </w:r>
    </w:p>
    <w:p>
      <w:r>
        <w:rPr>
          <w:b/>
        </w:rPr>
        <w:t>Course:</w:t>
      </w:r>
      <w:r>
        <w:rPr/>
        <w:t xml:space="preserve"> Science Through Advanced Research, Learning, Application, and Building (STARLAB)</w:t>
        <w:br/>
      </w:r>
      <w:r>
        <w:rPr>
          <w:b/>
        </w:rPr>
        <w:t>Unit Length:</w:t>
      </w:r>
      <w:r>
        <w:rPr/>
        <w:t xml:space="preserve"> 6 weeks</w:t>
        <w:br/>
      </w:r>
      <w:r>
        <w:rPr>
          <w:b/>
        </w:rPr>
        <w:t>Recommended Grade Level:</w:t>
      </w:r>
      <w:r>
        <w:rPr/>
        <w:t xml:space="preserve"> 11–12</w:t>
        <w:br/>
      </w:r>
      <w:r>
        <w:rPr>
          <w:b/>
        </w:rPr>
        <w:t>Primary Unit Products:</w:t>
      </w:r>
      <w:r>
        <w:rPr/>
        <w:t xml:space="preserve"> Final research report, final visual presentation product, oral presentation, public showcase participation, Q&amp;A reflection, research process reflection, portfolio artifact collection, optional competition or publication plan</w:t>
      </w:r>
    </w:p>
    <w:p>
      <w:pPr>
        <w:pStyle w:val="Heading1"/>
      </w:pPr>
      <w:r>
        <w:rPr>
          <w:b/>
        </w:rPr>
        <w:t>Unit Overview</w:t>
      </w:r>
    </w:p>
    <w:p>
      <w:r>
        <w:rPr/>
        <w:t>Unit 6 is the culminating unit of STARLAB. Students finalize and present their research to an audience, respond to questions, reflect on their growth, and consider how their work may continue beyond the course. This unit should feel like the transition from classroom project to public scientific communication.</w:t>
      </w:r>
    </w:p>
    <w:p>
      <w:pPr/>
      <w:r>
        <w:rPr>
          <w:b/>
        </w:rPr>
        <w:t xml:space="preserve">Public audience requirement: </w:t>
      </w:r>
      <w:r>
        <w:t>Every student must present to an authentic audience beyond the class. Acceptable audiences include families, mentors, university guests, community members, administrators, judges, or district leaders.</w:t>
      </w:r>
    </w:p>
    <w:p>
      <w:r>
        <w:rPr/>
        <w:t>Students enter Unit 6 with a completed or near-completed report and presentation product from Unit 5. The focus now shifts to delivery, audience engagement, question response, reflection, portfolio development, and next steps. Students practice explaining their work to both expert and non-expert audiences, revise based on presentation feedback, and prepare for the required public presentation event.</w:t>
      </w:r>
    </w:p>
    <w:p>
      <w:r>
        <w:rPr/>
        <w:t>By the end of this unit, students should be able to confidently present their research, discuss their methods and evidence, acknowledge limitations, respond thoughtfully to questions, and reflect on the habits of mind they developed through authentic research.</w:t>
      </w:r>
    </w:p>
    <w:p>
      <w:pPr>
        <w:pStyle w:val="Heading1"/>
      </w:pPr>
      <w:r>
        <w:rPr>
          <w:b/>
        </w:rPr>
        <w:t>Unit Rationale</w:t>
      </w:r>
    </w:p>
    <w:p>
      <w:r>
        <w:rPr/>
        <w:t>Scientific communication does not end when a report or poster is finished. Scientists must be able to speak about their work, answer questions, defend decisions, recognize limitations, and identify future directions. Unit 6 gives students the experience of presenting as researchers rather than simply submitting a final assignment.</w:t>
      </w:r>
    </w:p>
    <w:p>
      <w:r>
        <w:rPr/>
        <w:t>This unit also emphasizes reflection. STARLAB is not only about the final product. It is about the process: choosing a question, revising a plan, confronting failure, troubleshooting, collecting evidence, analyzing results, and learning to communicate with scientific honesty. Students should leave the course with a clearer sense of themselves as learners, researchers, problem-solvers, and future contributors to scientific or engineering communities.</w:t>
      </w:r>
    </w:p>
    <w:p>
      <w:r>
        <w:rPr/>
        <w:t>For schools launching STARLAB chapters, Unit 6 also provides an opportunity to build community support. A public showcase can involve administrators, families, teachers, university partners, mentors, younger students, and local professionals. The showcase should celebrate student work while reinforcing the seriousness and authenticity of the research process.</w:t>
      </w:r>
    </w:p>
    <w:p>
      <w:pPr>
        <w:pStyle w:val="Heading1"/>
      </w:pPr>
      <w:r>
        <w:rPr>
          <w:b/>
        </w:rPr>
        <w:t>Essential Questions</w:t>
      </w:r>
    </w:p>
    <w:p>
      <w:r>
        <w:rPr/>
        <w:t>How can students communicate research clearly to different audiences?</w:t>
      </w:r>
    </w:p>
    <w:p>
      <w:r>
        <w:rPr/>
        <w:t>What does it mean to defend a scientific or engineering claim with evidence?</w:t>
      </w:r>
    </w:p>
    <w:p>
      <w:r>
        <w:rPr/>
        <w:t>How should researchers respond to questions, uncertainty, and critique?</w:t>
      </w:r>
    </w:p>
    <w:p>
      <w:r>
        <w:rPr/>
        <w:t>What does reflection reveal about growth, failure, resilience, and learning?</w:t>
      </w:r>
    </w:p>
    <w:p>
      <w:r>
        <w:rPr/>
        <w:t>How can student research continue beyond the classroom?</w:t>
      </w:r>
    </w:p>
    <w:p>
      <w:r>
        <w:rPr/>
        <w:t>How can a STARLAB showcase build a culture of research within a school or district?</w:t>
      </w:r>
    </w:p>
    <w:p>
      <w:pPr>
        <w:pStyle w:val="Heading1"/>
      </w:pPr>
      <w:r>
        <w:rPr>
          <w:b/>
        </w:rPr>
        <w:t>Unit Learning Outcomes</w:t>
      </w:r>
    </w:p>
    <w:p>
      <w:r>
        <w:rPr/>
        <w:t>By the end of Unit 6, students will be able to:</w:t>
      </w:r>
    </w:p>
    <w:p>
      <w:r>
        <w:rPr/>
        <w:t>Deliver a clear oral presentation of their research project.</w:t>
      </w:r>
    </w:p>
    <w:p>
      <w:r>
        <w:rPr/>
        <w:t>Use a poster, board, slide deck, prototype, demonstration, or visual aid effectively during presentation.</w:t>
      </w:r>
    </w:p>
    <w:p>
      <w:r>
        <w:rPr/>
        <w:t>Explain the purpose, method, evidence, interpretation, limitations, and future work of their project.</w:t>
      </w:r>
    </w:p>
    <w:p>
      <w:r>
        <w:rPr/>
        <w:t>Respond thoughtfully to audience questions using evidence and scientific reasoning.</w:t>
      </w:r>
    </w:p>
    <w:p>
      <w:r>
        <w:rPr/>
        <w:t>Adapt explanations for expert and non-expert audiences.</w:t>
      </w:r>
    </w:p>
    <w:p>
      <w:r>
        <w:rPr/>
        <w:t>Reflect on challenges, failures, revisions, and growth during the research process.</w:t>
      </w:r>
    </w:p>
    <w:p>
      <w:r>
        <w:rPr/>
        <w:t>Assemble a portfolio of research artifacts.</w:t>
      </w:r>
    </w:p>
    <w:p>
      <w:r>
        <w:rPr/>
        <w:t>Identify possible next steps for continued research, competition, publication, or mentorship.</w:t>
      </w:r>
    </w:p>
    <w:p>
      <w:r>
        <w:rPr/>
        <w:t>Participate professionally in a required public research showcase, poster session, fair, community presentation, or public final defense.</w:t>
      </w:r>
    </w:p>
    <w:p>
      <w:pPr>
        <w:pStyle w:val="Heading1"/>
      </w:pPr>
      <w:r>
        <w:rPr>
          <w:b/>
        </w:rPr>
        <w:t>Recommended Unit Products</w:t>
      </w:r>
    </w:p>
    <w:p>
      <w:r>
        <w:rPr/>
        <w:t>Each student should complete the following by the end of the unit:</w:t>
      </w:r>
    </w:p>
    <w:p>
      <w:r>
        <w:rPr/>
        <w:t>Final research report</w:t>
      </w:r>
    </w:p>
    <w:p>
      <w:r>
        <w:rPr/>
        <w:t>Final visual presentation product</w:t>
      </w:r>
    </w:p>
    <w:p>
      <w:r>
        <w:rPr/>
        <w:t>30-second project explanation</w:t>
      </w:r>
    </w:p>
    <w:p>
      <w:r>
        <w:rPr/>
        <w:t>2-minute project summary</w:t>
      </w:r>
    </w:p>
    <w:p>
      <w:r>
        <w:rPr/>
        <w:t>Formal oral presentation</w:t>
      </w:r>
    </w:p>
    <w:p>
      <w:r>
        <w:rPr/>
        <w:t>Practice presentation feedback forms</w:t>
      </w:r>
    </w:p>
    <w:p>
      <w:r>
        <w:rPr/>
        <w:t>Q&amp;A preparation and reflection</w:t>
      </w:r>
    </w:p>
    <w:p>
      <w:r>
        <w:rPr/>
        <w:t>Showcase participation or final presentation</w:t>
      </w:r>
    </w:p>
    <w:p>
      <w:r>
        <w:rPr/>
        <w:t>Research process reflection</w:t>
      </w:r>
    </w:p>
    <w:p>
      <w:r>
        <w:rPr/>
        <w:t>STARLAB portfolio collection</w:t>
      </w:r>
    </w:p>
    <w:p>
      <w:r>
        <w:rPr/>
        <w:t>Optional competition, fair, journal, or continuation plan</w:t>
      </w:r>
    </w:p>
    <w:p>
      <w:pPr>
        <w:pStyle w:val="Heading1"/>
      </w:pPr>
      <w:r>
        <w:rPr>
          <w:b/>
        </w:rPr>
        <w:t>Suggested Assessment Categories</w:t>
      </w:r>
    </w:p>
    <w:p>
      <w:r>
        <w:rPr>
          <w:b/>
        </w:rPr>
        <w:t xml:space="preserve">Local scoring note: </w:t>
      </w:r>
      <w:r>
        <w:t>These are optional within-unit suggestions. Record presentation and showcase evidence under Oral Presentation, and reflection or portfolio evidence under Research Journal/Documentation; the syllabus weights remain authoritative.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D9D9"/>
          </w:tcPr>
          <w:p>
            <w:r>
              <w:rPr>
                <w:b/>
              </w:rPr>
              <w:t>Assessment Component</w:t>
            </w:r>
          </w:p>
        </w:tc>
        <w:tc>
          <w:tcPr>
            <w:tcW w:type="dxa" w:w="5040"/>
            <w:vAlign w:val="top"/>
            <w:shd w:fill="D9D9D9"/>
          </w:tcPr>
          <w:p>
            <w:r>
              <w:rPr>
                <w:b/>
              </w:rPr>
              <w:t>Suggested Weight</w:t>
            </w:r>
          </w:p>
        </w:tc>
        <w:trPr>
          <w:tblHeader/>
        </w:trPr>
      </w:tr>
      <w:tr>
        <w:tc>
          <w:tcPr>
            <w:tcW w:type="dxa" w:w="5040"/>
            <w:vAlign w:val="top"/>
          </w:tcPr>
          <w:p>
            <w:r>
              <w:t>Final Presentation Product</w:t>
            </w:r>
          </w:p>
        </w:tc>
        <w:tc>
          <w:tcPr>
            <w:tcW w:type="dxa" w:w="5040"/>
            <w:vAlign w:val="top"/>
          </w:tcPr>
          <w:p>
            <w:r>
              <w:t>20%</w:t>
            </w:r>
          </w:p>
        </w:tc>
      </w:tr>
      <w:tr>
        <w:tc>
          <w:tcPr>
            <w:tcW w:type="dxa" w:w="5040"/>
            <w:vAlign w:val="top"/>
          </w:tcPr>
          <w:p>
            <w:r>
              <w:t>Oral Presentation Delivery</w:t>
            </w:r>
          </w:p>
        </w:tc>
        <w:tc>
          <w:tcPr>
            <w:tcW w:type="dxa" w:w="5040"/>
            <w:vAlign w:val="top"/>
          </w:tcPr>
          <w:p>
            <w:r>
              <w:t>25%</w:t>
            </w:r>
          </w:p>
        </w:tc>
      </w:tr>
      <w:tr>
        <w:tc>
          <w:tcPr>
            <w:tcW w:type="dxa" w:w="5040"/>
            <w:vAlign w:val="top"/>
          </w:tcPr>
          <w:p>
            <w:r>
              <w:t>Response to Questions</w:t>
            </w:r>
          </w:p>
        </w:tc>
        <w:tc>
          <w:tcPr>
            <w:tcW w:type="dxa" w:w="5040"/>
            <w:vAlign w:val="top"/>
          </w:tcPr>
          <w:p>
            <w:r>
              <w:t>15%</w:t>
            </w:r>
          </w:p>
        </w:tc>
      </w:tr>
      <w:tr>
        <w:tc>
          <w:tcPr>
            <w:tcW w:type="dxa" w:w="5040"/>
            <w:vAlign w:val="top"/>
          </w:tcPr>
          <w:p>
            <w:r>
              <w:t>Professionalism During Showcase</w:t>
            </w:r>
          </w:p>
        </w:tc>
        <w:tc>
          <w:tcPr>
            <w:tcW w:type="dxa" w:w="5040"/>
            <w:vAlign w:val="top"/>
          </w:tcPr>
          <w:p>
            <w:r>
              <w:t>10%</w:t>
            </w:r>
          </w:p>
        </w:tc>
      </w:tr>
      <w:tr>
        <w:tc>
          <w:tcPr>
            <w:tcW w:type="dxa" w:w="5040"/>
            <w:vAlign w:val="top"/>
          </w:tcPr>
          <w:p>
            <w:r>
              <w:t>Final Research Reflection</w:t>
            </w:r>
          </w:p>
        </w:tc>
        <w:tc>
          <w:tcPr>
            <w:tcW w:type="dxa" w:w="5040"/>
            <w:vAlign w:val="top"/>
          </w:tcPr>
          <w:p>
            <w:r>
              <w:t>15%</w:t>
            </w:r>
          </w:p>
        </w:tc>
      </w:tr>
      <w:tr>
        <w:tc>
          <w:tcPr>
            <w:tcW w:type="dxa" w:w="5040"/>
            <w:vAlign w:val="top"/>
          </w:tcPr>
          <w:p>
            <w:r>
              <w:t>Portfolio Collection</w:t>
            </w:r>
          </w:p>
        </w:tc>
        <w:tc>
          <w:tcPr>
            <w:tcW w:type="dxa" w:w="5040"/>
            <w:vAlign w:val="top"/>
          </w:tcPr>
          <w:p>
            <w:r>
              <w:t>10%</w:t>
            </w:r>
          </w:p>
        </w:tc>
      </w:tr>
      <w:tr>
        <w:tc>
          <w:tcPr>
            <w:tcW w:type="dxa" w:w="5040"/>
            <w:vAlign w:val="top"/>
          </w:tcPr>
          <w:p>
            <w:r>
              <w:t>Optional Next-Step Plan</w:t>
            </w:r>
          </w:p>
        </w:tc>
        <w:tc>
          <w:tcPr>
            <w:tcW w:type="dxa" w:w="5040"/>
            <w:vAlign w:val="top"/>
          </w:tcPr>
          <w:p>
            <w:r>
              <w:t>5%</w:t>
            </w:r>
          </w:p>
        </w:tc>
      </w:tr>
    </w:tbl>
    <w:p/>
    <w:p>
      <w:r>
        <w:rPr/>
        <w:t>If the final research report was already assessed in Unit 5, it may be excluded from Unit 6 grading. If not, teachers may include the final report as a major assessment within this unit.</w:t>
      </w:r>
    </w:p>
    <w:p>
      <w:pPr>
        <w:pStyle w:val="Heading1"/>
      </w:pPr>
      <w:r>
        <w:rPr>
          <w:b/>
        </w:rPr>
        <w:t>Teacher Preparation Before the Unit</w:t>
      </w:r>
    </w:p>
    <w:p>
      <w:r>
        <w:rPr/>
        <w:t>Before beginning Unit 6, the teacher should prepare the following:</w:t>
      </w:r>
    </w:p>
    <w:p>
      <w:r>
        <w:rPr/>
        <w:t>Final presentation calendar</w:t>
      </w:r>
    </w:p>
    <w:p>
      <w:r>
        <w:rPr/>
        <w:t>Showcase date, location, and audience plan</w:t>
      </w:r>
    </w:p>
    <w:p>
      <w:r>
        <w:rPr/>
        <w:t>Presentation rubrics</w:t>
      </w:r>
    </w:p>
    <w:p>
      <w:r>
        <w:rPr/>
        <w:t>Practice presentation feedback forms</w:t>
      </w:r>
    </w:p>
    <w:p>
      <w:r>
        <w:rPr/>
        <w:t>Student speaking order or station rotation plan</w:t>
      </w:r>
    </w:p>
    <w:p>
      <w:r>
        <w:rPr/>
        <w:t>Technology needs: projector, displays, extension cords, laptops, chargers, poster boards, tables</w:t>
      </w:r>
    </w:p>
    <w:p>
      <w:r>
        <w:rPr/>
        <w:t>Visitor invitation list</w:t>
      </w:r>
    </w:p>
    <w:p>
      <w:r>
        <w:rPr/>
        <w:t>Mentor or community partner communication</w:t>
      </w:r>
    </w:p>
    <w:p>
      <w:r>
        <w:rPr/>
        <w:t>Student portfolio requirements</w:t>
      </w:r>
    </w:p>
    <w:p>
      <w:r>
        <w:rPr/>
        <w:t>Optional competition or publication information</w:t>
      </w:r>
    </w:p>
    <w:p>
      <w:r>
        <w:rPr/>
        <w:t>Photo/video permissions if student presentations will be documented</w:t>
      </w:r>
    </w:p>
    <w:p>
      <w:r>
        <w:rPr/>
        <w:t>Backup plan for absent students, technology failure, or incomplete projects</w:t>
      </w:r>
    </w:p>
    <w:p>
      <w:r>
        <w:rPr/>
        <w:t>Teachers should decide whether the culminating event will be:</w:t>
      </w:r>
    </w:p>
    <w:p>
      <w:r>
        <w:rPr/>
        <w:t>Public final defense with invited audience members beyond the class</w:t>
      </w:r>
    </w:p>
    <w:p>
      <w:r>
        <w:rPr/>
        <w:t>Poster session</w:t>
      </w:r>
    </w:p>
    <w:p>
      <w:r>
        <w:rPr/>
        <w:t>Public STARLAB showcase</w:t>
      </w:r>
    </w:p>
    <w:p>
      <w:r>
        <w:rPr/>
        <w:t>Science fair style judging event</w:t>
      </w:r>
    </w:p>
    <w:p>
      <w:r>
        <w:rPr/>
        <w:t>Mentor presentation day</w:t>
      </w:r>
    </w:p>
    <w:p>
      <w:r>
        <w:rPr/>
        <w:t>District research night</w:t>
      </w:r>
    </w:p>
    <w:p>
      <w:r>
        <w:rPr/>
        <w:t>Combination of formats</w:t>
      </w:r>
    </w:p>
    <w:p>
      <w:pPr>
        <w:pStyle w:val="Heading1"/>
      </w:pPr>
      <w:r>
        <w:rPr>
          <w:b/>
        </w:rPr>
        <w:t>Recommended Classroom Norms for This Unit</w:t>
      </w:r>
    </w:p>
    <w:p>
      <w:r>
        <w:rPr/>
        <w:t>Presenters should be treated as researchers.</w:t>
      </w:r>
    </w:p>
    <w:p>
      <w:r>
        <w:rPr/>
        <w:t>Audience members should ask serious, respectful questions.</w:t>
      </w:r>
    </w:p>
    <w:p>
      <w:r>
        <w:rPr/>
        <w:t>Questions are not attacks; they are part of scientific communication.</w:t>
      </w:r>
    </w:p>
    <w:p>
      <w:r>
        <w:rPr/>
        <w:t>It is acceptable to say, “I do not know, but based on my evidence...”</w:t>
      </w:r>
    </w:p>
    <w:p>
      <w:r>
        <w:rPr/>
        <w:t>Students should acknowledge limitations honestly.</w:t>
      </w:r>
    </w:p>
    <w:p>
      <w:r>
        <w:rPr/>
        <w:t>Presentations should be practiced but not memorized word-for-word.</w:t>
      </w:r>
    </w:p>
    <w:p>
      <w:r>
        <w:rPr/>
        <w:t>Visual aids should support the explanation, not replace it.</w:t>
      </w:r>
    </w:p>
    <w:p>
      <w:r>
        <w:rPr/>
        <w:t>Professionalism matters before, during, and after the showcase.</w:t>
      </w:r>
    </w:p>
    <w:p>
      <w:r>
        <w:rPr/>
        <w:t>Reflection should be honest, specific, and connected to growth.</w:t>
      </w:r>
    </w:p>
    <w:p>
      <w:r>
        <w:rPr/>
        <w:t>The end of the course can also be the beginning of future research.</w:t>
      </w:r>
    </w:p>
    <w:p>
      <w:pPr>
        <w:pStyle w:val="Heading1"/>
      </w:pPr>
      <w:r>
        <w:rPr>
          <w:b/>
        </w:rPr>
        <w:t>Unit Pacing at a Glance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D9D9"/>
          </w:tcPr>
          <w:p>
            <w:pPr>
              <w:spacing w:before="0" w:after="0" w:line="240" w:lineRule="auto"/>
            </w:pPr>
            <w:r>
              <w:rPr>
                <w:b/>
                <w:sz w:val="16"/>
              </w:rPr>
              <w:t>Week</w:t>
            </w:r>
          </w:p>
        </w:tc>
        <w:tc>
          <w:tcPr>
            <w:tcW w:type="dxa" w:w="3360"/>
            <w:vAlign w:val="top"/>
            <w:shd w:fill="D9D9D9"/>
          </w:tcPr>
          <w:p>
            <w:pPr>
              <w:spacing w:before="0" w:after="0" w:line="240" w:lineRule="auto"/>
            </w:pPr>
            <w:r>
              <w:rPr>
                <w:b/>
                <w:sz w:val="16"/>
              </w:rPr>
              <w:t>Focus</w:t>
            </w:r>
          </w:p>
        </w:tc>
        <w:tc>
          <w:tcPr>
            <w:tcW w:type="dxa" w:w="3360"/>
            <w:vAlign w:val="top"/>
            <w:shd w:fill="D9D9D9"/>
          </w:tcPr>
          <w:p>
            <w:pPr>
              <w:spacing w:before="0" w:after="0" w:line="240" w:lineRule="auto"/>
            </w:pPr>
            <w:r>
              <w:rPr>
                <w:b/>
                <w:sz w:val="16"/>
              </w:rPr>
              <w:t>Major Student Product</w:t>
            </w:r>
          </w:p>
        </w:tc>
        <w:trPr>
          <w:tblHeader/>
        </w:trPr>
      </w:tr>
      <w:tr>
        <w:tc>
          <w:tcPr>
            <w:tcW w:type="dxa" w:w="3360"/>
            <w:vAlign w:val="top"/>
          </w:tcPr>
          <w:p>
            <w:pPr>
              <w:spacing w:before="0" w:after="0" w:line="240" w:lineRule="auto"/>
            </w:pPr>
            <w:r>
              <w:rPr>
                <w:sz w:val="16"/>
              </w:rPr>
              <w:t>Week 29</w:t>
            </w:r>
          </w:p>
        </w:tc>
        <w:tc>
          <w:tcPr>
            <w:tcW w:type="dxa" w:w="3360"/>
            <w:vAlign w:val="top"/>
          </w:tcPr>
          <w:p>
            <w:pPr>
              <w:spacing w:before="0" w:after="0" w:line="240" w:lineRule="auto"/>
            </w:pPr>
            <w:r>
              <w:rPr>
                <w:sz w:val="16"/>
              </w:rPr>
              <w:t>Final presentation readiness and message refinement</w:t>
            </w:r>
          </w:p>
        </w:tc>
        <w:tc>
          <w:tcPr>
            <w:tcW w:type="dxa" w:w="3360"/>
            <w:vAlign w:val="top"/>
          </w:tcPr>
          <w:p>
            <w:pPr>
              <w:spacing w:before="0" w:after="0" w:line="240" w:lineRule="auto"/>
            </w:pPr>
            <w:r>
              <w:rPr>
                <w:sz w:val="16"/>
              </w:rPr>
              <w:t>Final presentation checklist and revised speaking notes</w:t>
            </w:r>
          </w:p>
        </w:tc>
      </w:tr>
      <w:tr>
        <w:tc>
          <w:tcPr>
            <w:tcW w:type="dxa" w:w="3360"/>
            <w:vAlign w:val="top"/>
          </w:tcPr>
          <w:p>
            <w:pPr>
              <w:spacing w:before="0" w:after="0" w:line="240" w:lineRule="auto"/>
            </w:pPr>
            <w:r>
              <w:rPr>
                <w:sz w:val="16"/>
              </w:rPr>
              <w:t>Week 30</w:t>
            </w:r>
          </w:p>
        </w:tc>
        <w:tc>
          <w:tcPr>
            <w:tcW w:type="dxa" w:w="3360"/>
            <w:vAlign w:val="top"/>
          </w:tcPr>
          <w:p>
            <w:pPr>
              <w:spacing w:before="0" w:after="0" w:line="240" w:lineRule="auto"/>
            </w:pPr>
            <w:r>
              <w:rPr>
                <w:sz w:val="16"/>
              </w:rPr>
              <w:t>Practice presentations and audience adaptation</w:t>
            </w:r>
          </w:p>
        </w:tc>
        <w:tc>
          <w:tcPr>
            <w:tcW w:type="dxa" w:w="3360"/>
            <w:vAlign w:val="top"/>
          </w:tcPr>
          <w:p>
            <w:pPr>
              <w:spacing w:before="0" w:after="0" w:line="240" w:lineRule="auto"/>
            </w:pPr>
            <w:r>
              <w:rPr>
                <w:sz w:val="16"/>
              </w:rPr>
              <w:t>Practice feedback and revised presentation plan</w:t>
            </w:r>
          </w:p>
        </w:tc>
      </w:tr>
      <w:tr>
        <w:tc>
          <w:tcPr>
            <w:tcW w:type="dxa" w:w="3360"/>
            <w:vAlign w:val="top"/>
          </w:tcPr>
          <w:p>
            <w:pPr>
              <w:spacing w:before="0" w:after="0" w:line="240" w:lineRule="auto"/>
            </w:pPr>
            <w:r>
              <w:rPr>
                <w:sz w:val="16"/>
              </w:rPr>
              <w:t>Week 31</w:t>
            </w:r>
          </w:p>
        </w:tc>
        <w:tc>
          <w:tcPr>
            <w:tcW w:type="dxa" w:w="3360"/>
            <w:vAlign w:val="top"/>
          </w:tcPr>
          <w:p>
            <w:pPr>
              <w:spacing w:before="0" w:after="0" w:line="240" w:lineRule="auto"/>
            </w:pPr>
            <w:r>
              <w:rPr>
                <w:sz w:val="16"/>
              </w:rPr>
              <w:t>Q&amp;A preparation and defense of evidence</w:t>
            </w:r>
          </w:p>
        </w:tc>
        <w:tc>
          <w:tcPr>
            <w:tcW w:type="dxa" w:w="3360"/>
            <w:vAlign w:val="top"/>
          </w:tcPr>
          <w:p>
            <w:pPr>
              <w:spacing w:before="0" w:after="0" w:line="240" w:lineRule="auto"/>
            </w:pPr>
            <w:r>
              <w:rPr>
                <w:sz w:val="16"/>
              </w:rPr>
              <w:t>Question response preparation and mock Q&amp;A reflection</w:t>
            </w:r>
          </w:p>
        </w:tc>
      </w:tr>
      <w:tr>
        <w:tc>
          <w:tcPr>
            <w:tcW w:type="dxa" w:w="3360"/>
            <w:vAlign w:val="top"/>
          </w:tcPr>
          <w:p>
            <w:pPr>
              <w:spacing w:before="0" w:after="0" w:line="240" w:lineRule="auto"/>
            </w:pPr>
            <w:r>
              <w:rPr>
                <w:sz w:val="16"/>
              </w:rPr>
              <w:t>Week 32</w:t>
            </w:r>
          </w:p>
        </w:tc>
        <w:tc>
          <w:tcPr>
            <w:tcW w:type="dxa" w:w="3360"/>
            <w:vAlign w:val="top"/>
          </w:tcPr>
          <w:p>
            <w:pPr>
              <w:spacing w:before="0" w:after="0" w:line="240" w:lineRule="auto"/>
            </w:pPr>
            <w:r>
              <w:rPr>
                <w:sz w:val="16"/>
              </w:rPr>
              <w:t>Final presentation or showcase preparation</w:t>
            </w:r>
          </w:p>
        </w:tc>
        <w:tc>
          <w:tcPr>
            <w:tcW w:type="dxa" w:w="3360"/>
            <w:vAlign w:val="top"/>
          </w:tcPr>
          <w:p>
            <w:pPr>
              <w:spacing w:before="0" w:after="0" w:line="240" w:lineRule="auto"/>
            </w:pPr>
            <w:r>
              <w:rPr>
                <w:sz w:val="16"/>
              </w:rPr>
              <w:t>Final visual product and showcase logistics checklist</w:t>
            </w:r>
          </w:p>
        </w:tc>
      </w:tr>
      <w:tr>
        <w:tc>
          <w:tcPr>
            <w:tcW w:type="dxa" w:w="3360"/>
            <w:vAlign w:val="top"/>
          </w:tcPr>
          <w:p>
            <w:pPr>
              <w:spacing w:before="0" w:after="0" w:line="240" w:lineRule="auto"/>
            </w:pPr>
            <w:r>
              <w:rPr>
                <w:sz w:val="16"/>
              </w:rPr>
              <w:t>Week 33</w:t>
            </w:r>
          </w:p>
        </w:tc>
        <w:tc>
          <w:tcPr>
            <w:tcW w:type="dxa" w:w="3360"/>
            <w:vAlign w:val="top"/>
          </w:tcPr>
          <w:p>
            <w:pPr>
              <w:spacing w:before="0" w:after="0" w:line="240" w:lineRule="auto"/>
            </w:pPr>
            <w:r>
              <w:rPr>
                <w:sz w:val="16"/>
              </w:rPr>
              <w:t>Public presentation, showcase, or final defense</w:t>
            </w:r>
          </w:p>
        </w:tc>
        <w:tc>
          <w:tcPr>
            <w:tcW w:type="dxa" w:w="3360"/>
            <w:vAlign w:val="top"/>
          </w:tcPr>
          <w:p>
            <w:pPr>
              <w:spacing w:before="0" w:after="0" w:line="240" w:lineRule="auto"/>
            </w:pPr>
            <w:r>
              <w:rPr>
                <w:sz w:val="16"/>
              </w:rPr>
              <w:t>Final presentation and audience feedback</w:t>
            </w:r>
          </w:p>
        </w:tc>
      </w:tr>
      <w:tr>
        <w:tc>
          <w:tcPr>
            <w:tcW w:type="dxa" w:w="3360"/>
            <w:vAlign w:val="top"/>
          </w:tcPr>
          <w:p>
            <w:pPr>
              <w:spacing w:before="0" w:after="0" w:line="240" w:lineRule="auto"/>
            </w:pPr>
            <w:r>
              <w:rPr>
                <w:sz w:val="16"/>
              </w:rPr>
              <w:t>Week 34</w:t>
            </w:r>
          </w:p>
        </w:tc>
        <w:tc>
          <w:tcPr>
            <w:tcW w:type="dxa" w:w="3360"/>
            <w:vAlign w:val="top"/>
          </w:tcPr>
          <w:p>
            <w:pPr>
              <w:spacing w:before="0" w:after="0" w:line="240" w:lineRule="auto"/>
            </w:pPr>
            <w:r>
              <w:rPr>
                <w:sz w:val="16"/>
              </w:rPr>
              <w:t>Reflection, portfolio, and next steps</w:t>
            </w:r>
          </w:p>
        </w:tc>
        <w:tc>
          <w:tcPr>
            <w:tcW w:type="dxa" w:w="3360"/>
            <w:vAlign w:val="top"/>
          </w:tcPr>
          <w:p>
            <w:pPr>
              <w:spacing w:before="0" w:after="0" w:line="240" w:lineRule="auto"/>
            </w:pPr>
            <w:r>
              <w:rPr>
                <w:sz w:val="16"/>
              </w:rPr>
              <w:t>Final reflection, portfolio, and continuation plan</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Overview and Preparation</dc:title>
  <dc:subject/>
  <dc:creator>STARLAB</dc:creator>
  <cp:keywords>STARLAB, Unit 6, required public showcase, oral presentation, reflection</cp:keywords>
  <dc:description>generated by python-docx</dc:description>
  <cp:lastModifiedBy/>
  <cp:revision>1</cp:revision>
  <dcterms:created xsi:type="dcterms:W3CDTF">2013-12-23T23:15:00Z</dcterms:created>
  <dcterms:modified xsi:type="dcterms:W3CDTF">2013-12-23T23:15:00Z</dcterms:modified>
  <cp:category>STARLAB Curriculum</cp:category>
</cp:coreProperties>
</file>