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C00000"/>
          <w:sz w:val="56"/>
        </w:rPr>
        <w:t>STARLAB</w:t>
      </w:r>
    </w:p>
    <w:p>
      <w:pPr>
        <w:spacing w:after="120"/>
        <w:jc w:val="center"/>
      </w:pPr>
      <w:r>
        <w:rPr>
          <w:b/>
          <w:color w:val="000000"/>
          <w:sz w:val="44"/>
        </w:rPr>
        <w:t>Grading and Assessment Guide</w:t>
      </w:r>
    </w:p>
    <w:p>
      <w:pPr>
        <w:spacing w:after="120"/>
        <w:jc w:val="center"/>
      </w:pPr>
      <w:r>
        <w:rPr>
          <w:i/>
          <w:color w:val="505050"/>
          <w:sz w:val="24"/>
        </w:rPr>
        <w:t>Teacher-facing assessment system for authentic student research</w:t>
      </w:r>
    </w:p>
    <w:p>
      <w:pPr>
        <w:spacing w:after="120"/>
      </w:pP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224"/>
      </w:tblGrid>
      <w:tr>
        <w:tc>
          <w:tcPr>
            <w:tcW w:type="dxa" w:w="10224"/>
            <w:shd w:fill="F2F2F2"/>
          </w:tcPr>
          <w:p>
            <w:r>
              <w:rPr>
                <w:b/>
                <w:color w:val="C00000"/>
              </w:rPr>
              <w:t>Purpose of this guide</w:t>
            </w:r>
          </w:p>
          <w:p>
            <w:pPr>
              <w:spacing w:after="0"/>
            </w:pPr>
            <w:r>
              <w:t>This guide helps teachers assess STARLAB fairly, consistently, and professionally. It is designed for courses in which students complete different research projects, encounter different obstacles, and produce different kinds of evidence. The assessment system rewards documented scientific thinking, responsible process, and clear communication rather than only polished final results.</w:t>
            </w:r>
          </w:p>
        </w:tc>
        <w:trPr>
          <w:tblHeader/>
        </w:trPr>
      </w:tr>
    </w:tbl>
    <w:p>
      <w:pPr>
        <w:spacing w:after="120"/>
      </w:pPr>
    </w:p>
    <w:p>
      <w:pPr>
        <w:pStyle w:val="Heading1"/>
        <w:spacing w:before="200" w:after="80"/>
      </w:pPr>
      <w:r>
        <w:t>Contents</w:t>
      </w:r>
    </w:p>
    <w:p>
      <w:pPr>
        <w:pStyle w:val="ListBullet"/>
      </w:pPr>
      <w:r>
        <w:t>1. Assessment philosophy</w:t>
      </w:r>
    </w:p>
    <w:p>
      <w:pPr>
        <w:pStyle w:val="ListBullet"/>
      </w:pPr>
      <w:r>
        <w:t>2. Recommended gradebook structure</w:t>
      </w:r>
    </w:p>
    <w:p>
      <w:pPr>
        <w:pStyle w:val="ListBullet"/>
      </w:pPr>
      <w:r>
        <w:t>3. Unit-by-unit assessment map</w:t>
      </w:r>
    </w:p>
    <w:p>
      <w:pPr>
        <w:pStyle w:val="ListBullet"/>
      </w:pPr>
      <w:r>
        <w:t>4. Process vs. product grading</w:t>
      </w:r>
    </w:p>
    <w:p>
      <w:pPr>
        <w:pStyle w:val="ListBullet"/>
      </w:pPr>
      <w:r>
        <w:t>5. Required rubrics and scoring tools</w:t>
      </w:r>
    </w:p>
    <w:p>
      <w:pPr>
        <w:pStyle w:val="ListBullet"/>
      </w:pPr>
      <w:r>
        <w:t>6. Research journal assessment</w:t>
      </w:r>
    </w:p>
    <w:p>
      <w:pPr>
        <w:pStyle w:val="ListBullet"/>
      </w:pPr>
      <w:r>
        <w:t>7. Work day and conference assessment</w:t>
      </w:r>
    </w:p>
    <w:p>
      <w:pPr>
        <w:pStyle w:val="ListBullet"/>
      </w:pPr>
      <w:r>
        <w:t>8. Assessing failed, incomplete, or pivoted projects</w:t>
      </w:r>
    </w:p>
    <w:p>
      <w:pPr>
        <w:pStyle w:val="ListBullet"/>
      </w:pPr>
      <w:r>
        <w:t>9. Feedback and revision cycles</w:t>
      </w:r>
    </w:p>
    <w:p>
      <w:pPr>
        <w:pStyle w:val="ListBullet"/>
      </w:pPr>
      <w:r>
        <w:t>10. Academic integrity, AI use, and source credit</w:t>
      </w:r>
    </w:p>
    <w:p>
      <w:pPr>
        <w:pStyle w:val="ListBullet"/>
      </w:pPr>
      <w:r>
        <w:t>11. Differentiation and accommodations</w:t>
      </w:r>
    </w:p>
    <w:p>
      <w:pPr>
        <w:pStyle w:val="ListBullet"/>
      </w:pPr>
      <w:r>
        <w:t>12. Sample grading language and policies</w:t>
      </w:r>
    </w:p>
    <w:p>
      <w:pPr>
        <w:pStyle w:val="ListBullet"/>
      </w:pPr>
      <w:r>
        <w:t>13. Quick implementation checklist</w:t>
      </w:r>
    </w:p>
    <w:p>
      <w:pPr>
        <w:spacing w:after="120"/>
      </w:pPr>
      <w:r>
        <w:br w:type="page"/>
      </w:r>
    </w:p>
    <w:p>
      <w:pPr>
        <w:pStyle w:val="Heading1"/>
        <w:spacing w:before="200" w:after="80"/>
      </w:pPr>
      <w:r>
        <w:t>1. Assessment Philosophy</w:t>
      </w:r>
    </w:p>
    <w:p>
      <w:pPr>
        <w:spacing w:after="120"/>
      </w:pPr>
      <w:r>
        <w:t>STARLAB assessment should reflect the reality of authentic research. Students may work on different questions, use different tools, collect different types of data, and encounter different degrees of uncertainty. A fair grading system therefore cannot reward only the cleanest result or the most impressive final product.</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224"/>
      </w:tblGrid>
      <w:tr>
        <w:tc>
          <w:tcPr>
            <w:tcW w:type="dxa" w:w="10224"/>
            <w:shd w:fill="F2F2F2"/>
          </w:tcPr>
          <w:p>
            <w:r>
              <w:rPr>
                <w:b/>
                <w:color w:val="C00000"/>
              </w:rPr>
              <w:t>Core assessment principle</w:t>
            </w:r>
          </w:p>
          <w:p>
            <w:pPr>
              <w:spacing w:after="0"/>
            </w:pPr>
            <w:r>
              <w:t>STARLAB grades should reward documented scientific thinking, responsible research process, honest evidence, and clear communication. A project can be scientifically strong even when the hypothesis is not supported, the prototype fails, or the result is inconclusive.</w:t>
            </w:r>
          </w:p>
        </w:tc>
        <w:trPr>
          <w:tblHeader/>
        </w:trPr>
      </w:tr>
    </w:tbl>
    <w:p>
      <w:pPr>
        <w:spacing w:after="120"/>
      </w:pPr>
    </w:p>
    <w:p>
      <w:pPr>
        <w:pStyle w:val="Heading2"/>
        <w:spacing w:before="200" w:after="80"/>
      </w:pPr>
      <w:r>
        <w:t>What should be rewarded</w:t>
      </w:r>
    </w:p>
    <w:p>
      <w:pPr>
        <w:pStyle w:val="ListBullet"/>
      </w:pPr>
      <w:r>
        <w:t>Clear development of a research question, engineering problem, or analytical goal.</w:t>
      </w:r>
    </w:p>
    <w:p>
      <w:pPr>
        <w:pStyle w:val="ListBullet"/>
      </w:pPr>
      <w:r>
        <w:t>Safe, ethical, and feasible planning before testing begins.</w:t>
      </w:r>
    </w:p>
    <w:p>
      <w:pPr>
        <w:pStyle w:val="ListBullet"/>
      </w:pPr>
      <w:r>
        <w:t>Consistent research journal documentation.</w:t>
      </w:r>
    </w:p>
    <w:p>
      <w:pPr>
        <w:pStyle w:val="ListBullet"/>
      </w:pPr>
      <w:r>
        <w:t>Evidence-based revisions after pilot testing, troubleshooting, mentor feedback, or data review.</w:t>
      </w:r>
    </w:p>
    <w:p>
      <w:pPr>
        <w:pStyle w:val="ListBullet"/>
      </w:pPr>
      <w:r>
        <w:t>Honest preservation of raw data, including failed trials and questionable results.</w:t>
      </w:r>
    </w:p>
    <w:p>
      <w:pPr>
        <w:pStyle w:val="ListBullet"/>
      </w:pPr>
      <w:r>
        <w:t>Appropriate analysis and cautious interpretation.</w:t>
      </w:r>
    </w:p>
    <w:p>
      <w:pPr>
        <w:pStyle w:val="ListBullet"/>
      </w:pPr>
      <w:r>
        <w:t>Professional scientific writing and presentation.</w:t>
      </w:r>
    </w:p>
    <w:p>
      <w:pPr>
        <w:pStyle w:val="ListBullet"/>
      </w:pPr>
      <w:r>
        <w:t>Growth in independence, resilience, technical skill, and communication.</w:t>
      </w:r>
    </w:p>
    <w:p>
      <w:pPr>
        <w:pStyle w:val="Heading2"/>
        <w:spacing w:before="200" w:after="80"/>
      </w:pPr>
      <w:r>
        <w:t>What should not dominate the grade</w:t>
      </w:r>
    </w:p>
    <w:p>
      <w:pPr>
        <w:pStyle w:val="ListBullet"/>
      </w:pPr>
      <w:r>
        <w:t>Whether the hypothesis was supported.</w:t>
      </w:r>
    </w:p>
    <w:p>
      <w:pPr>
        <w:pStyle w:val="ListBullet"/>
      </w:pPr>
      <w:r>
        <w:t>Whether the first design worked.</w:t>
      </w:r>
    </w:p>
    <w:p>
      <w:pPr>
        <w:pStyle w:val="ListBullet"/>
      </w:pPr>
      <w:r>
        <w:t>Whether the project looks more impressive than a peer’s project.</w:t>
      </w:r>
    </w:p>
    <w:p>
      <w:pPr>
        <w:pStyle w:val="ListBullet"/>
      </w:pPr>
      <w:r>
        <w:t>Whether the student had access to unusually advanced equipment or mentorship.</w:t>
      </w:r>
    </w:p>
    <w:p>
      <w:pPr>
        <w:pStyle w:val="ListBullet"/>
      </w:pPr>
      <w:r>
        <w:t>Whether the final result was neat, positive, or easy to explain.</w:t>
      </w:r>
    </w:p>
    <w:p>
      <w:pPr>
        <w:pStyle w:val="Heading1"/>
        <w:spacing w:before="200" w:after="80"/>
      </w:pPr>
      <w:r>
        <w:t>2. Recommended Gradebook Structure</w:t>
      </w:r>
    </w:p>
    <w:p>
      <w:pPr>
        <w:spacing w:after="120"/>
      </w:pPr>
      <w:r>
        <w:t>The official gradebook categories below match the STARLAB syllabus. Teachers may adapt individual assignments and point values locally, but the major course weights should remain aligned to these six categories. Professional habits such as meeting deadlines, communicating needs, using feedback, and maintaining safety should be assessed within the relevant category rather than as a separate percentage.</w:t>
      </w:r>
    </w:p>
    <w:tbl>
      <w:tblPr>
        <w:tblStyle w:val="TableGrid"/>
        <w:tblW w:type="auto" w:w="0"/>
        <w:tblLook w:firstColumn="1" w:firstRow="1" w:lastColumn="0" w:lastRow="0" w:noHBand="0" w:noVBand="1" w:val="04A0"/>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3168"/>
            <w:shd w:fill="D9EAF7"/>
            <w:tcMar>
              <w:top w:w="80" w:type="dxa"/>
              <w:start w:w="80" w:type="dxa"/>
              <w:bottom w:w="80" w:type="dxa"/>
              <w:end w:w="80" w:type="dxa"/>
            </w:tcMar>
          </w:tcPr>
          <w:p>
            <w:r>
              <w:rPr>
                <w:b/>
                <w:sz w:val="20"/>
              </w:rPr>
              <w:t>Syllabus Category</w:t>
            </w:r>
          </w:p>
        </w:tc>
        <w:tc>
          <w:tcPr>
            <w:tcW w:type="dxa" w:w="1872"/>
            <w:shd w:fill="D9EAF7"/>
            <w:tcMar>
              <w:top w:w="80" w:type="dxa"/>
              <w:start w:w="80" w:type="dxa"/>
              <w:bottom w:w="80" w:type="dxa"/>
              <w:end w:w="80" w:type="dxa"/>
            </w:tcMar>
          </w:tcPr>
          <w:p>
            <w:r>
              <w:rPr>
                <w:b/>
                <w:sz w:val="20"/>
              </w:rPr>
              <w:t>Weight</w:t>
            </w:r>
          </w:p>
        </w:tc>
        <w:tc>
          <w:tcPr>
            <w:tcW w:type="dxa" w:w="6192"/>
            <w:shd w:fill="D9EAF7"/>
            <w:tcMar>
              <w:top w:w="80" w:type="dxa"/>
              <w:start w:w="80" w:type="dxa"/>
              <w:bottom w:w="80" w:type="dxa"/>
              <w:end w:w="80" w:type="dxa"/>
            </w:tcMar>
          </w:tcPr>
          <w:p>
            <w:r>
              <w:rPr>
                <w:b/>
                <w:sz w:val="20"/>
              </w:rPr>
              <w:t>What It Measures</w:t>
            </w:r>
          </w:p>
        </w:tc>
        <w:trPr>
          <w:tblHeader/>
        </w:trPr>
      </w:tr>
      <w:tr>
        <w:tc>
          <w:tcPr>
            <w:tcW w:type="dxa" w:w="3408"/>
            <w:tcMar>
              <w:top w:w="80" w:type="dxa"/>
              <w:start w:w="80" w:type="dxa"/>
              <w:bottom w:w="80" w:type="dxa"/>
              <w:end w:w="80" w:type="dxa"/>
            </w:tcMar>
            <w:vAlign w:val="top"/>
          </w:tcPr>
          <w:p>
            <w:r>
              <w:rPr>
                <w:sz w:val="18"/>
              </w:rPr>
              <w:t>Project Proposal</w:t>
            </w:r>
          </w:p>
        </w:tc>
        <w:tc>
          <w:tcPr>
            <w:tcW w:type="dxa" w:w="3408"/>
            <w:tcMar>
              <w:top w:w="80" w:type="dxa"/>
              <w:start w:w="80" w:type="dxa"/>
              <w:bottom w:w="80" w:type="dxa"/>
              <w:end w:w="80" w:type="dxa"/>
            </w:tcMar>
            <w:vAlign w:val="top"/>
          </w:tcPr>
          <w:p>
            <w:r>
              <w:rPr>
                <w:sz w:val="18"/>
              </w:rPr>
              <w:t>15%</w:t>
            </w:r>
          </w:p>
        </w:tc>
        <w:tc>
          <w:tcPr>
            <w:tcW w:type="dxa" w:w="3408"/>
            <w:tcMar>
              <w:top w:w="80" w:type="dxa"/>
              <w:start w:w="80" w:type="dxa"/>
              <w:bottom w:w="80" w:type="dxa"/>
              <w:end w:w="80" w:type="dxa"/>
            </w:tcMar>
            <w:vAlign w:val="top"/>
          </w:tcPr>
          <w:p>
            <w:r>
              <w:rPr>
                <w:sz w:val="18"/>
              </w:rPr>
              <w:t>Refined research question or engineering problem, background research, hypothesis or design criteria, variables/controls/criteria/constraints, materials and procedure planning, safety/ethics screening, project timeline, and formal research plan readiness.</w:t>
            </w:r>
          </w:p>
        </w:tc>
      </w:tr>
      <w:tr>
        <w:tc>
          <w:tcPr>
            <w:tcW w:type="dxa" w:w="3408"/>
            <w:tcMar>
              <w:top w:w="80" w:type="dxa"/>
              <w:start w:w="80" w:type="dxa"/>
              <w:bottom w:w="80" w:type="dxa"/>
              <w:end w:w="80" w:type="dxa"/>
            </w:tcMar>
            <w:vAlign w:val="top"/>
          </w:tcPr>
          <w:p>
            <w:r>
              <w:rPr>
                <w:sz w:val="18"/>
              </w:rPr>
              <w:t>Research Journal/Documentation</w:t>
            </w:r>
          </w:p>
        </w:tc>
        <w:tc>
          <w:tcPr>
            <w:tcW w:type="dxa" w:w="3408"/>
            <w:tcMar>
              <w:top w:w="80" w:type="dxa"/>
              <w:start w:w="80" w:type="dxa"/>
              <w:bottom w:w="80" w:type="dxa"/>
              <w:end w:w="80" w:type="dxa"/>
            </w:tcMar>
            <w:vAlign w:val="top"/>
          </w:tcPr>
          <w:p>
            <w:r>
              <w:rPr>
                <w:sz w:val="18"/>
              </w:rPr>
              <w:t>20%</w:t>
            </w:r>
          </w:p>
        </w:tc>
        <w:tc>
          <w:tcPr>
            <w:tcW w:type="dxa" w:w="3408"/>
            <w:tcMar>
              <w:top w:w="80" w:type="dxa"/>
              <w:start w:w="80" w:type="dxa"/>
              <w:bottom w:w="80" w:type="dxa"/>
              <w:end w:w="80" w:type="dxa"/>
            </w:tcMar>
            <w:vAlign w:val="top"/>
          </w:tcPr>
          <w:p>
            <w:r>
              <w:rPr>
                <w:sz w:val="18"/>
              </w:rPr>
              <w:t>Research journal quality, documentation of goals/actions/data/problems/decisions/next steps, troubleshooting logs, teacher or mentor feedback records, revision explanations, weekly check-ins, and evidence links.</w:t>
            </w:r>
          </w:p>
        </w:tc>
      </w:tr>
      <w:tr>
        <w:tc>
          <w:tcPr>
            <w:tcW w:type="dxa" w:w="3408"/>
            <w:tcMar>
              <w:top w:w="80" w:type="dxa"/>
              <w:start w:w="80" w:type="dxa"/>
              <w:bottom w:w="80" w:type="dxa"/>
              <w:end w:w="80" w:type="dxa"/>
            </w:tcMar>
            <w:vAlign w:val="top"/>
          </w:tcPr>
          <w:p>
            <w:r>
              <w:rPr>
                <w:sz w:val="18"/>
              </w:rPr>
              <w:t>Mid-Project Progress Report</w:t>
            </w:r>
          </w:p>
        </w:tc>
        <w:tc>
          <w:tcPr>
            <w:tcW w:type="dxa" w:w="3408"/>
            <w:tcMar>
              <w:top w:w="80" w:type="dxa"/>
              <w:start w:w="80" w:type="dxa"/>
              <w:bottom w:w="80" w:type="dxa"/>
              <w:end w:w="80" w:type="dxa"/>
            </w:tcMar>
            <w:vAlign w:val="top"/>
          </w:tcPr>
          <w:p>
            <w:r>
              <w:rPr>
                <w:sz w:val="18"/>
              </w:rPr>
              <w:t>15%</w:t>
            </w:r>
          </w:p>
        </w:tc>
        <w:tc>
          <w:tcPr>
            <w:tcW w:type="dxa" w:w="3408"/>
            <w:tcMar>
              <w:top w:w="80" w:type="dxa"/>
              <w:start w:w="80" w:type="dxa"/>
              <w:bottom w:w="80" w:type="dxa"/>
              <w:end w:w="80" w:type="dxa"/>
            </w:tcMar>
            <w:vAlign w:val="top"/>
          </w:tcPr>
          <w:p>
            <w:r>
              <w:rPr>
                <w:sz w:val="18"/>
              </w:rPr>
              <w:t>Progress report quality, pilot testing summary, work completed, preliminary data or evidence, documented challenges and limitations, updated timeline, and action plan for the second half of the project.</w:t>
            </w:r>
          </w:p>
        </w:tc>
      </w:tr>
      <w:tr>
        <w:tc>
          <w:tcPr>
            <w:tcW w:type="dxa" w:w="3408"/>
            <w:tcMar>
              <w:top w:w="80" w:type="dxa"/>
              <w:start w:w="80" w:type="dxa"/>
              <w:bottom w:w="80" w:type="dxa"/>
              <w:end w:w="80" w:type="dxa"/>
            </w:tcMar>
            <w:vAlign w:val="top"/>
          </w:tcPr>
          <w:p>
            <w:r>
              <w:rPr>
                <w:sz w:val="18"/>
              </w:rPr>
              <w:t>Data Analysis and Interpretation</w:t>
            </w:r>
          </w:p>
        </w:tc>
        <w:tc>
          <w:tcPr>
            <w:tcW w:type="dxa" w:w="3408"/>
            <w:tcMar>
              <w:top w:w="80" w:type="dxa"/>
              <w:start w:w="80" w:type="dxa"/>
              <w:bottom w:w="80" w:type="dxa"/>
              <w:end w:w="80" w:type="dxa"/>
            </w:tcMar>
            <w:vAlign w:val="top"/>
          </w:tcPr>
          <w:p>
            <w:r>
              <w:rPr>
                <w:sz w:val="18"/>
              </w:rPr>
              <w:t>20%</w:t>
            </w:r>
          </w:p>
        </w:tc>
        <w:tc>
          <w:tcPr>
            <w:tcW w:type="dxa" w:w="3408"/>
            <w:tcMar>
              <w:top w:w="80" w:type="dxa"/>
              <w:start w:w="80" w:type="dxa"/>
              <w:bottom w:w="80" w:type="dxa"/>
              <w:end w:w="80" w:type="dxa"/>
            </w:tcMar>
            <w:vAlign w:val="top"/>
          </w:tcPr>
          <w:p>
            <w:r>
              <w:rPr>
                <w:sz w:val="18"/>
              </w:rPr>
              <w:t>Clean data set, raw data preservation, analysis method selection, calculations/statistics, graphs/tables/visuals, uncertainty/error review, limitations, and evidence-based interpretation.</w:t>
            </w:r>
          </w:p>
        </w:tc>
      </w:tr>
      <w:tr>
        <w:tc>
          <w:tcPr>
            <w:tcW w:type="dxa" w:w="3408"/>
            <w:tcMar>
              <w:top w:w="80" w:type="dxa"/>
              <w:start w:w="80" w:type="dxa"/>
              <w:bottom w:w="80" w:type="dxa"/>
              <w:end w:w="80" w:type="dxa"/>
            </w:tcMar>
            <w:vAlign w:val="top"/>
          </w:tcPr>
          <w:p>
            <w:r>
              <w:rPr>
                <w:sz w:val="18"/>
              </w:rPr>
              <w:t>Final Research Report</w:t>
            </w:r>
          </w:p>
        </w:tc>
        <w:tc>
          <w:tcPr>
            <w:tcW w:type="dxa" w:w="3408"/>
            <w:tcMar>
              <w:top w:w="80" w:type="dxa"/>
              <w:start w:w="80" w:type="dxa"/>
              <w:bottom w:w="80" w:type="dxa"/>
              <w:end w:w="80" w:type="dxa"/>
            </w:tcMar>
            <w:vAlign w:val="top"/>
          </w:tcPr>
          <w:p>
            <w:r>
              <w:rPr>
                <w:sz w:val="18"/>
              </w:rPr>
              <w:t>15%</w:t>
            </w:r>
          </w:p>
        </w:tc>
        <w:tc>
          <w:tcPr>
            <w:tcW w:type="dxa" w:w="3408"/>
            <w:tcMar>
              <w:top w:w="80" w:type="dxa"/>
              <w:start w:w="80" w:type="dxa"/>
              <w:bottom w:w="80" w:type="dxa"/>
              <w:end w:w="80" w:type="dxa"/>
            </w:tcMar>
            <w:vAlign w:val="top"/>
          </w:tcPr>
          <w:p>
            <w:r>
              <w:rPr>
                <w:sz w:val="18"/>
              </w:rPr>
              <w:t>Complete scientific report including introduction, methods, results, discussion, conclusion, figures/tables, captions, references, scientific accuracy, and revision quality.</w:t>
            </w:r>
          </w:p>
        </w:tc>
      </w:tr>
      <w:tr>
        <w:tc>
          <w:tcPr>
            <w:tcW w:type="dxa" w:w="3408"/>
            <w:tcMar>
              <w:top w:w="80" w:type="dxa"/>
              <w:start w:w="80" w:type="dxa"/>
              <w:bottom w:w="80" w:type="dxa"/>
              <w:end w:w="80" w:type="dxa"/>
            </w:tcMar>
            <w:vAlign w:val="top"/>
          </w:tcPr>
          <w:p>
            <w:r>
              <w:rPr>
                <w:sz w:val="18"/>
              </w:rPr>
              <w:t>Oral Presentation</w:t>
            </w:r>
          </w:p>
        </w:tc>
        <w:tc>
          <w:tcPr>
            <w:tcW w:type="dxa" w:w="3408"/>
            <w:tcMar>
              <w:top w:w="80" w:type="dxa"/>
              <w:start w:w="80" w:type="dxa"/>
              <w:bottom w:w="80" w:type="dxa"/>
              <w:end w:w="80" w:type="dxa"/>
            </w:tcMar>
            <w:vAlign w:val="top"/>
          </w:tcPr>
          <w:p>
            <w:r>
              <w:rPr>
                <w:sz w:val="18"/>
              </w:rPr>
              <w:t>15%</w:t>
            </w:r>
          </w:p>
        </w:tc>
        <w:tc>
          <w:tcPr>
            <w:tcW w:type="dxa" w:w="3408"/>
            <w:tcMar>
              <w:top w:w="80" w:type="dxa"/>
              <w:start w:w="80" w:type="dxa"/>
              <w:bottom w:w="80" w:type="dxa"/>
              <w:end w:w="80" w:type="dxa"/>
            </w:tcMar>
            <w:vAlign w:val="top"/>
          </w:tcPr>
          <w:p>
            <w:r>
              <w:rPr>
                <w:sz w:val="18"/>
              </w:rPr>
              <w:t>Final visual aid, oral delivery, organization, explanation of evidence, response to questions, professionalism during presentation or showcase, and reflection on presentation performance.</w:t>
            </w:r>
          </w:p>
        </w:tc>
      </w:tr>
    </w:tbl>
    <w:p>
      <w:pPr>
        <w:spacing w:after="120"/>
      </w:pP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224"/>
      </w:tblGrid>
      <w:tr>
        <w:tc>
          <w:tcPr>
            <w:tcW w:type="dxa" w:w="10224"/>
            <w:shd w:fill="EFEFEF"/>
            <w:tcMar>
              <w:top w:w="120" w:type="dxa"/>
              <w:start w:w="120" w:type="dxa"/>
              <w:bottom w:w="120" w:type="dxa"/>
              <w:end w:w="120" w:type="dxa"/>
            </w:tcMar>
          </w:tcPr>
          <w:p>
            <w:r>
              <w:rPr>
                <w:sz w:val="18"/>
              </w:rPr>
              <w:t>Recommended grading move</w:t>
              <w:br/>
              <w:t>Use the syllabus categories as the official gradebook structure. The additional rubrics in this guide should function as scoring tools inside those categories. For example, research journal checks count under Research Journal/Documentation, approval products count under Project Proposal, and showcase professionalism can be included under Oral Presentation.</w:t>
            </w:r>
          </w:p>
        </w:tc>
        <w:trPr>
          <w:tblHeader/>
        </w:trPr>
      </w:tr>
    </w:tbl>
    <w:p>
      <w:pPr>
        <w:spacing w:after="120"/>
      </w:pPr>
    </w:p>
    <w:p>
      <w:pPr>
        <w:pStyle w:val="Heading1"/>
        <w:spacing w:before="200" w:after="80"/>
      </w:pPr>
      <w:r>
        <w:t>3. Unit-by-Unit Assessment Map</w:t>
      </w:r>
    </w:p>
    <w:p>
      <w:pPr>
        <w:pStyle w:val="Heading1"/>
      </w:pPr>
      <w:r>
        <w:t>Unit-level percentages are optional local within-unit scoring breakdowns. They do not replace the six official syllabus categories or weights; record each local score inside the appropriate syllabus category.</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2520"/>
            <w:shd w:fill="C00000"/>
          </w:tcPr>
          <w:p>
            <w:pPr>
              <w:spacing w:after="0"/>
            </w:pPr>
            <w:r/>
            <w:r>
              <w:rPr>
                <w:b/>
                <w:color w:val="FFFFFF"/>
              </w:rPr>
              <w:t>Unit</w:t>
            </w:r>
          </w:p>
        </w:tc>
        <w:tc>
          <w:tcPr>
            <w:tcW w:type="dxa" w:w="4608"/>
            <w:shd w:fill="C00000"/>
          </w:tcPr>
          <w:p>
            <w:pPr>
              <w:spacing w:after="0"/>
            </w:pPr>
            <w:r/>
            <w:r>
              <w:rPr>
                <w:b/>
                <w:color w:val="FFFFFF"/>
              </w:rPr>
              <w:t>Major Assessments</w:t>
            </w:r>
          </w:p>
        </w:tc>
        <w:tc>
          <w:tcPr>
            <w:tcW w:type="dxa" w:w="4896"/>
            <w:shd w:fill="C00000"/>
          </w:tcPr>
          <w:p>
            <w:pPr>
              <w:spacing w:after="0"/>
            </w:pPr>
            <w:r/>
            <w:r>
              <w:rPr>
                <w:b/>
                <w:color w:val="FFFFFF"/>
              </w:rPr>
              <w:t>Assessment Focus</w:t>
            </w:r>
          </w:p>
        </w:tc>
        <w:trPr>
          <w:tblHeader/>
        </w:trPr>
      </w:tr>
      <w:tr>
        <w:tc>
          <w:tcPr>
            <w:tcW w:type="dxa" w:w="2520"/>
            <w:vAlign w:val="top"/>
          </w:tcPr>
          <w:p>
            <w:pPr>
              <w:spacing w:after="0"/>
            </w:pPr>
            <w:r/>
            <w:r>
              <w:rPr>
                <w:b w:val="0"/>
              </w:rPr>
              <w:t>Unit 1: Introduction to Scientific Research and Experimental Design</w:t>
            </w:r>
          </w:p>
        </w:tc>
        <w:tc>
          <w:tcPr>
            <w:tcW w:type="dxa" w:w="4608"/>
            <w:vAlign w:val="top"/>
          </w:tcPr>
          <w:p>
            <w:pPr>
              <w:spacing w:after="0"/>
            </w:pPr>
            <w:r/>
            <w:r>
              <w:rPr>
                <w:b w:val="0"/>
              </w:rPr>
              <w:t>Launch reflection; science identity inventory; research interest inventory; ethics agreement; experimental design practice; topic-to-question work; preliminary pitch.</w:t>
            </w:r>
          </w:p>
        </w:tc>
        <w:tc>
          <w:tcPr>
            <w:tcW w:type="dxa" w:w="4896"/>
            <w:vAlign w:val="top"/>
          </w:tcPr>
          <w:p>
            <w:pPr>
              <w:spacing w:after="0"/>
            </w:pPr>
            <w:r/>
            <w:r>
              <w:rPr>
                <w:b w:val="0"/>
              </w:rPr>
              <w:t>Curiosity, research identity, early design vocabulary, ethical expectations, feasibility awareness, preliminary direction.</w:t>
            </w:r>
          </w:p>
        </w:tc>
      </w:tr>
      <w:tr>
        <w:tc>
          <w:tcPr>
            <w:tcW w:type="dxa" w:w="2520"/>
            <w:vAlign w:val="top"/>
          </w:tcPr>
          <w:p>
            <w:pPr>
              <w:spacing w:after="0"/>
            </w:pPr>
            <w:r/>
            <w:r>
              <w:rPr>
                <w:b w:val="0"/>
              </w:rPr>
              <w:t>Unit 2: Project Planning and Hypothesis Development</w:t>
            </w:r>
          </w:p>
        </w:tc>
        <w:tc>
          <w:tcPr>
            <w:tcW w:type="dxa" w:w="4608"/>
            <w:vAlign w:val="top"/>
          </w:tcPr>
          <w:p>
            <w:pPr>
              <w:spacing w:after="0"/>
            </w:pPr>
            <w:r/>
            <w:r>
              <w:rPr>
                <w:b w:val="0"/>
              </w:rPr>
              <w:t>Project refinement; background research notes; hypothesis/design criteria; variables/controls/criteria organizer; evidence plan; materials/procedure/data plan; safety and ethics screening; formal research plan.</w:t>
            </w:r>
          </w:p>
        </w:tc>
        <w:tc>
          <w:tcPr>
            <w:tcW w:type="dxa" w:w="4896"/>
            <w:vAlign w:val="top"/>
          </w:tcPr>
          <w:p>
            <w:pPr>
              <w:spacing w:after="0"/>
            </w:pPr>
            <w:r/>
            <w:r>
              <w:rPr>
                <w:b w:val="0"/>
              </w:rPr>
              <w:t>Planning before doing, safety, ethics, feasibility, clear evidence path, approval readiness.</w:t>
            </w:r>
          </w:p>
        </w:tc>
      </w:tr>
      <w:tr>
        <w:tc>
          <w:tcPr>
            <w:tcW w:type="dxa" w:w="2520"/>
            <w:vAlign w:val="top"/>
          </w:tcPr>
          <w:p>
            <w:pPr>
              <w:spacing w:after="0"/>
            </w:pPr>
            <w:r/>
            <w:r>
              <w:rPr>
                <w:b w:val="0"/>
              </w:rPr>
              <w:t>Unit 3: Pilot Testing and Data Collection</w:t>
            </w:r>
          </w:p>
        </w:tc>
        <w:tc>
          <w:tcPr>
            <w:tcW w:type="dxa" w:w="4608"/>
            <w:vAlign w:val="top"/>
          </w:tcPr>
          <w:p>
            <w:pPr>
              <w:spacing w:after="0"/>
            </w:pPr>
            <w:r/>
            <w:r>
              <w:rPr>
                <w:b w:val="0"/>
              </w:rPr>
              <w:t>Pilot test plan; research journal; troubleshooting logs; revised procedure; data collection log; weekly check-ins; mid-project progress report; readiness for analysis.</w:t>
            </w:r>
          </w:p>
        </w:tc>
        <w:tc>
          <w:tcPr>
            <w:tcW w:type="dxa" w:w="4896"/>
            <w:vAlign w:val="top"/>
          </w:tcPr>
          <w:p>
            <w:pPr>
              <w:spacing w:after="0"/>
            </w:pPr>
            <w:r/>
            <w:r>
              <w:rPr>
                <w:b w:val="0"/>
              </w:rPr>
              <w:t>Documented research behavior, safe testing, data collection quality, responsible revision, persistence.</w:t>
            </w:r>
          </w:p>
        </w:tc>
      </w:tr>
      <w:tr>
        <w:tc>
          <w:tcPr>
            <w:tcW w:type="dxa" w:w="2520"/>
            <w:vAlign w:val="top"/>
          </w:tcPr>
          <w:p>
            <w:pPr>
              <w:spacing w:after="0"/>
            </w:pPr>
            <w:r/>
            <w:r>
              <w:rPr>
                <w:b w:val="0"/>
              </w:rPr>
              <w:t>Unit 4: Data Analysis and Interpretation</w:t>
            </w:r>
          </w:p>
        </w:tc>
        <w:tc>
          <w:tcPr>
            <w:tcW w:type="dxa" w:w="4608"/>
            <w:vAlign w:val="top"/>
          </w:tcPr>
          <w:p>
            <w:pPr>
              <w:spacing w:after="0"/>
            </w:pPr>
            <w:r/>
            <w:r>
              <w:rPr>
                <w:b w:val="0"/>
              </w:rPr>
              <w:t>Raw data inventory; clean data set; analysis plan; calculations/statistics record; graphs/visuals; error and limitations review; CER organizer; analysis summary.</w:t>
            </w:r>
          </w:p>
        </w:tc>
        <w:tc>
          <w:tcPr>
            <w:tcW w:type="dxa" w:w="4896"/>
            <w:vAlign w:val="top"/>
          </w:tcPr>
          <w:p>
            <w:pPr>
              <w:spacing w:after="0"/>
            </w:pPr>
            <w:r/>
            <w:r>
              <w:rPr>
                <w:b w:val="0"/>
              </w:rPr>
              <w:t>Data integrity, appropriate analysis, visual accuracy, cautious interpretation.</w:t>
            </w:r>
          </w:p>
        </w:tc>
      </w:tr>
      <w:tr>
        <w:tc>
          <w:tcPr>
            <w:tcW w:type="dxa" w:w="2520"/>
            <w:vAlign w:val="top"/>
          </w:tcPr>
          <w:p>
            <w:pPr>
              <w:spacing w:after="0"/>
            </w:pPr>
            <w:r/>
            <w:r>
              <w:rPr>
                <w:b w:val="0"/>
              </w:rPr>
              <w:t>Unit 5: Scientific Reporting and Presentation Preparation</w:t>
            </w:r>
          </w:p>
        </w:tc>
        <w:tc>
          <w:tcPr>
            <w:tcW w:type="dxa" w:w="4608"/>
            <w:vAlign w:val="top"/>
          </w:tcPr>
          <w:p>
            <w:pPr>
              <w:spacing w:after="0"/>
            </w:pPr>
            <w:r/>
            <w:r>
              <w:rPr>
                <w:b w:val="0"/>
              </w:rPr>
              <w:t>Report section drafts; results visuals; discussion draft; full report; peer review; revision plan; presentation planning.</w:t>
            </w:r>
          </w:p>
        </w:tc>
        <w:tc>
          <w:tcPr>
            <w:tcW w:type="dxa" w:w="4896"/>
            <w:vAlign w:val="top"/>
          </w:tcPr>
          <w:p>
            <w:pPr>
              <w:spacing w:after="0"/>
            </w:pPr>
            <w:r/>
            <w:r>
              <w:rPr>
                <w:b w:val="0"/>
              </w:rPr>
              <w:t>Scientific communication, evidence-based writing, revision, visual clarity.</w:t>
            </w:r>
          </w:p>
        </w:tc>
      </w:tr>
      <w:tr>
        <w:tc>
          <w:tcPr>
            <w:tcW w:type="dxa" w:w="2520"/>
            <w:vAlign w:val="top"/>
          </w:tcPr>
          <w:p>
            <w:pPr>
              <w:spacing w:after="0"/>
            </w:pPr>
            <w:r/>
            <w:r>
              <w:rPr>
                <w:b w:val="0"/>
              </w:rPr>
              <w:t>Unit 6: Project Presentation and Reflection</w:t>
            </w:r>
          </w:p>
        </w:tc>
        <w:tc>
          <w:tcPr>
            <w:tcW w:type="dxa" w:w="4608"/>
            <w:vAlign w:val="top"/>
          </w:tcPr>
          <w:p>
            <w:pPr>
              <w:spacing w:after="0"/>
            </w:pPr>
            <w:r/>
            <w:r>
              <w:rPr>
                <w:b w:val="0"/>
              </w:rPr>
              <w:t>Final presentation product; practice feedback; Q&amp;A preparation; showcase participation; final reflection; portfolio; optional next-step plan.</w:t>
            </w:r>
          </w:p>
        </w:tc>
        <w:tc>
          <w:tcPr>
            <w:tcW w:type="dxa" w:w="4896"/>
            <w:vAlign w:val="top"/>
          </w:tcPr>
          <w:p>
            <w:pPr>
              <w:spacing w:after="0"/>
            </w:pPr>
            <w:r/>
            <w:r>
              <w:rPr>
                <w:b w:val="0"/>
              </w:rPr>
              <w:t>Public communication, evidence defense, professionalism, reflection, portfolio evidence.</w:t>
            </w:r>
          </w:p>
        </w:tc>
      </w:tr>
    </w:tbl>
    <w:p>
      <w:pPr>
        <w:spacing w:after="120"/>
      </w:pPr>
    </w:p>
    <w:p>
      <w:pPr>
        <w:pStyle w:val="Heading1"/>
        <w:spacing w:before="200" w:after="80"/>
      </w:pPr>
      <w:r>
        <w:t>4. Process vs. Product Grading</w:t>
      </w:r>
    </w:p>
    <w:p>
      <w:pPr>
        <w:spacing w:after="120"/>
      </w:pPr>
      <w:r>
        <w:t>STARLAB teachers should grade both what students produce and how responsibly they produce it. The process grade protects students who do difficult work honestly, while the product grade pushes students toward polished scientific communication.</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112"/>
        <w:gridCol w:w="5112"/>
      </w:tblGrid>
      <w:tr>
        <w:tc>
          <w:tcPr>
            <w:tcW w:type="dxa" w:w="5472"/>
            <w:shd w:fill="C00000"/>
          </w:tcPr>
          <w:p>
            <w:pPr>
              <w:spacing w:after="0"/>
            </w:pPr>
            <w:r/>
            <w:r>
              <w:rPr>
                <w:b/>
                <w:color w:val="FFFFFF"/>
              </w:rPr>
              <w:t>Process Evidence</w:t>
            </w:r>
          </w:p>
        </w:tc>
        <w:tc>
          <w:tcPr>
            <w:tcW w:type="dxa" w:w="5472"/>
            <w:shd w:fill="C00000"/>
          </w:tcPr>
          <w:p>
            <w:pPr>
              <w:spacing w:after="0"/>
            </w:pPr>
            <w:r/>
            <w:r>
              <w:rPr>
                <w:b/>
                <w:color w:val="FFFFFF"/>
              </w:rPr>
              <w:t>Product Evidence</w:t>
            </w:r>
          </w:p>
        </w:tc>
        <w:trPr>
          <w:tblHeader/>
        </w:trPr>
      </w:tr>
      <w:tr>
        <w:tc>
          <w:tcPr>
            <w:tcW w:type="dxa" w:w="5472"/>
            <w:vAlign w:val="top"/>
          </w:tcPr>
          <w:p>
            <w:pPr>
              <w:spacing w:after="0"/>
            </w:pPr>
            <w:r/>
            <w:r>
              <w:rPr>
                <w:b w:val="0"/>
              </w:rPr>
              <w:t>Research journal entries</w:t>
            </w:r>
          </w:p>
        </w:tc>
        <w:tc>
          <w:tcPr>
            <w:tcW w:type="dxa" w:w="5472"/>
            <w:vAlign w:val="top"/>
          </w:tcPr>
          <w:p>
            <w:pPr>
              <w:spacing w:after="0"/>
            </w:pPr>
            <w:r/>
            <w:r>
              <w:rPr>
                <w:b w:val="0"/>
              </w:rPr>
              <w:t>Final research report</w:t>
            </w:r>
          </w:p>
        </w:tc>
      </w:tr>
      <w:tr>
        <w:tc>
          <w:tcPr>
            <w:tcW w:type="dxa" w:w="5472"/>
            <w:vAlign w:val="top"/>
          </w:tcPr>
          <w:p>
            <w:pPr>
              <w:spacing w:after="0"/>
            </w:pPr>
            <w:r/>
            <w:r>
              <w:rPr>
                <w:b w:val="0"/>
              </w:rPr>
              <w:t>Pilot test plan and reflection</w:t>
            </w:r>
          </w:p>
        </w:tc>
        <w:tc>
          <w:tcPr>
            <w:tcW w:type="dxa" w:w="5472"/>
            <w:vAlign w:val="top"/>
          </w:tcPr>
          <w:p>
            <w:pPr>
              <w:spacing w:after="0"/>
            </w:pPr>
            <w:r/>
            <w:r>
              <w:rPr>
                <w:b w:val="0"/>
              </w:rPr>
              <w:t>Final graph, table, image, or visual set</w:t>
            </w:r>
          </w:p>
        </w:tc>
      </w:tr>
      <w:tr>
        <w:tc>
          <w:tcPr>
            <w:tcW w:type="dxa" w:w="5472"/>
            <w:vAlign w:val="top"/>
          </w:tcPr>
          <w:p>
            <w:pPr>
              <w:spacing w:after="0"/>
            </w:pPr>
            <w:r/>
            <w:r>
              <w:rPr>
                <w:b w:val="0"/>
              </w:rPr>
              <w:t>Troubleshooting logs</w:t>
            </w:r>
          </w:p>
        </w:tc>
        <w:tc>
          <w:tcPr>
            <w:tcW w:type="dxa" w:w="5472"/>
            <w:vAlign w:val="top"/>
          </w:tcPr>
          <w:p>
            <w:pPr>
              <w:spacing w:after="0"/>
            </w:pPr>
            <w:r/>
            <w:r>
              <w:rPr>
                <w:b w:val="0"/>
              </w:rPr>
              <w:t>Final poster, board, or slide deck</w:t>
            </w:r>
          </w:p>
        </w:tc>
      </w:tr>
      <w:tr>
        <w:tc>
          <w:tcPr>
            <w:tcW w:type="dxa" w:w="5472"/>
            <w:vAlign w:val="top"/>
          </w:tcPr>
          <w:p>
            <w:pPr>
              <w:spacing w:after="0"/>
            </w:pPr>
            <w:r/>
            <w:r>
              <w:rPr>
                <w:b w:val="0"/>
              </w:rPr>
              <w:t>Revised procedure with reasons</w:t>
            </w:r>
          </w:p>
        </w:tc>
        <w:tc>
          <w:tcPr>
            <w:tcW w:type="dxa" w:w="5472"/>
            <w:vAlign w:val="top"/>
          </w:tcPr>
          <w:p>
            <w:pPr>
              <w:spacing w:after="0"/>
            </w:pPr>
            <w:r/>
            <w:r>
              <w:rPr>
                <w:b w:val="0"/>
              </w:rPr>
              <w:t>Final oral presentation</w:t>
            </w:r>
          </w:p>
        </w:tc>
      </w:tr>
      <w:tr>
        <w:tc>
          <w:tcPr>
            <w:tcW w:type="dxa" w:w="5472"/>
            <w:vAlign w:val="top"/>
          </w:tcPr>
          <w:p>
            <w:pPr>
              <w:spacing w:after="0"/>
            </w:pPr>
            <w:r/>
            <w:r>
              <w:rPr>
                <w:b w:val="0"/>
              </w:rPr>
              <w:t>Weekly progress check-ins</w:t>
            </w:r>
          </w:p>
        </w:tc>
        <w:tc>
          <w:tcPr>
            <w:tcW w:type="dxa" w:w="5472"/>
            <w:vAlign w:val="top"/>
          </w:tcPr>
          <w:p>
            <w:pPr>
              <w:spacing w:after="0"/>
            </w:pPr>
            <w:r/>
            <w:r>
              <w:rPr>
                <w:b w:val="0"/>
              </w:rPr>
              <w:t>Portfolio</w:t>
            </w:r>
          </w:p>
        </w:tc>
      </w:tr>
      <w:tr>
        <w:tc>
          <w:tcPr>
            <w:tcW w:type="dxa" w:w="5472"/>
            <w:vAlign w:val="top"/>
          </w:tcPr>
          <w:p>
            <w:pPr>
              <w:spacing w:after="0"/>
            </w:pPr>
            <w:r/>
            <w:r>
              <w:rPr>
                <w:b w:val="0"/>
              </w:rPr>
              <w:t>Teacher or mentor conference notes</w:t>
            </w:r>
          </w:p>
        </w:tc>
        <w:tc>
          <w:tcPr>
            <w:tcW w:type="dxa" w:w="5472"/>
            <w:vAlign w:val="top"/>
          </w:tcPr>
          <w:p>
            <w:pPr>
              <w:spacing w:after="0"/>
            </w:pPr>
            <w:r/>
            <w:r>
              <w:rPr>
                <w:b w:val="0"/>
              </w:rPr>
              <w:t>Showcase or final defense</w:t>
            </w:r>
          </w:p>
        </w:tc>
      </w:tr>
      <w:tr>
        <w:tc>
          <w:tcPr>
            <w:tcW w:type="dxa" w:w="5472"/>
            <w:vAlign w:val="top"/>
          </w:tcPr>
          <w:p>
            <w:pPr>
              <w:spacing w:after="0"/>
            </w:pPr>
            <w:r/>
            <w:r>
              <w:rPr>
                <w:b w:val="0"/>
              </w:rPr>
              <w:t>Data cleaning decision log</w:t>
            </w:r>
          </w:p>
        </w:tc>
        <w:tc>
          <w:tcPr>
            <w:tcW w:type="dxa" w:w="5472"/>
            <w:vAlign w:val="top"/>
          </w:tcPr>
          <w:p>
            <w:pPr>
              <w:spacing w:after="0"/>
            </w:pPr>
            <w:r/>
            <w:r>
              <w:rPr>
                <w:b w:val="0"/>
              </w:rPr>
              <w:t>Final interpretation and conclusion</w:t>
            </w:r>
          </w:p>
        </w:tc>
      </w:tr>
    </w:tbl>
    <w:p>
      <w:pPr>
        <w:spacing w:after="120"/>
      </w:pPr>
    </w:p>
    <w:p>
      <w:pPr>
        <w:pStyle w:val="Heading2"/>
        <w:spacing w:before="200" w:after="80"/>
      </w:pPr>
      <w:r>
        <w:t>Suggested process/product balance by phase</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2880"/>
            <w:shd w:fill="C00000"/>
          </w:tcPr>
          <w:p>
            <w:pPr>
              <w:spacing w:after="0"/>
            </w:pPr>
            <w:r/>
            <w:r>
              <w:rPr>
                <w:b/>
                <w:color w:val="FFFFFF"/>
              </w:rPr>
              <w:t>Course Phase</w:t>
            </w:r>
          </w:p>
        </w:tc>
        <w:tc>
          <w:tcPr>
            <w:tcW w:type="dxa" w:w="4032"/>
            <w:shd w:fill="C00000"/>
          </w:tcPr>
          <w:p>
            <w:pPr>
              <w:spacing w:after="0"/>
            </w:pPr>
            <w:r/>
            <w:r>
              <w:rPr>
                <w:b/>
                <w:color w:val="FFFFFF"/>
              </w:rPr>
              <w:t>Process Emphasis</w:t>
            </w:r>
          </w:p>
        </w:tc>
        <w:tc>
          <w:tcPr>
            <w:tcW w:type="dxa" w:w="4032"/>
            <w:shd w:fill="C00000"/>
          </w:tcPr>
          <w:p>
            <w:pPr>
              <w:spacing w:after="0"/>
            </w:pPr>
            <w:r/>
            <w:r>
              <w:rPr>
                <w:b/>
                <w:color w:val="FFFFFF"/>
              </w:rPr>
              <w:t>Product Emphasis</w:t>
            </w:r>
          </w:p>
        </w:tc>
        <w:trPr>
          <w:tblHeader/>
        </w:trPr>
      </w:tr>
      <w:tr>
        <w:tc>
          <w:tcPr>
            <w:tcW w:type="dxa" w:w="2880"/>
            <w:vAlign w:val="top"/>
          </w:tcPr>
          <w:p>
            <w:pPr>
              <w:spacing w:after="0"/>
            </w:pPr>
            <w:r/>
            <w:r>
              <w:rPr>
                <w:b w:val="0"/>
              </w:rPr>
              <w:t>Units 1–2</w:t>
            </w:r>
          </w:p>
        </w:tc>
        <w:tc>
          <w:tcPr>
            <w:tcW w:type="dxa" w:w="4032"/>
            <w:vAlign w:val="top"/>
          </w:tcPr>
          <w:p>
            <w:pPr>
              <w:spacing w:after="0"/>
            </w:pPr>
            <w:r/>
            <w:r>
              <w:rPr>
                <w:b w:val="0"/>
              </w:rPr>
              <w:t>High: idea development, planning, safety, approval</w:t>
            </w:r>
          </w:p>
        </w:tc>
        <w:tc>
          <w:tcPr>
            <w:tcW w:type="dxa" w:w="4032"/>
            <w:vAlign w:val="top"/>
          </w:tcPr>
          <w:p>
            <w:pPr>
              <w:spacing w:after="0"/>
            </w:pPr>
            <w:r/>
            <w:r>
              <w:rPr>
                <w:b w:val="0"/>
              </w:rPr>
              <w:t>Moderate: completed planning products</w:t>
            </w:r>
          </w:p>
        </w:tc>
      </w:tr>
      <w:tr>
        <w:tc>
          <w:tcPr>
            <w:tcW w:type="dxa" w:w="2880"/>
            <w:vAlign w:val="top"/>
          </w:tcPr>
          <w:p>
            <w:pPr>
              <w:spacing w:after="0"/>
            </w:pPr>
            <w:r/>
            <w:r>
              <w:rPr>
                <w:b w:val="0"/>
              </w:rPr>
              <w:t>Unit 3</w:t>
            </w:r>
          </w:p>
        </w:tc>
        <w:tc>
          <w:tcPr>
            <w:tcW w:type="dxa" w:w="4032"/>
            <w:vAlign w:val="top"/>
          </w:tcPr>
          <w:p>
            <w:pPr>
              <w:spacing w:after="0"/>
            </w:pPr>
            <w:r/>
            <w:r>
              <w:rPr>
                <w:b w:val="0"/>
              </w:rPr>
              <w:t>Very high: documentation, testing, revision, data collection behavior</w:t>
            </w:r>
          </w:p>
        </w:tc>
        <w:tc>
          <w:tcPr>
            <w:tcW w:type="dxa" w:w="4032"/>
            <w:vAlign w:val="top"/>
          </w:tcPr>
          <w:p>
            <w:pPr>
              <w:spacing w:after="0"/>
            </w:pPr>
            <w:r/>
            <w:r>
              <w:rPr>
                <w:b w:val="0"/>
              </w:rPr>
              <w:t>Moderate: usable data and progress report</w:t>
            </w:r>
          </w:p>
        </w:tc>
      </w:tr>
      <w:tr>
        <w:tc>
          <w:tcPr>
            <w:tcW w:type="dxa" w:w="2880"/>
            <w:vAlign w:val="top"/>
          </w:tcPr>
          <w:p>
            <w:pPr>
              <w:spacing w:after="0"/>
            </w:pPr>
            <w:r/>
            <w:r>
              <w:rPr>
                <w:b w:val="0"/>
              </w:rPr>
              <w:t>Unit 4</w:t>
            </w:r>
          </w:p>
        </w:tc>
        <w:tc>
          <w:tcPr>
            <w:tcW w:type="dxa" w:w="4032"/>
            <w:vAlign w:val="top"/>
          </w:tcPr>
          <w:p>
            <w:pPr>
              <w:spacing w:after="0"/>
            </w:pPr>
            <w:r/>
            <w:r>
              <w:rPr>
                <w:b w:val="0"/>
              </w:rPr>
              <w:t>Balanced: analysis choices and data integrity</w:t>
            </w:r>
          </w:p>
        </w:tc>
        <w:tc>
          <w:tcPr>
            <w:tcW w:type="dxa" w:w="4032"/>
            <w:vAlign w:val="top"/>
          </w:tcPr>
          <w:p>
            <w:pPr>
              <w:spacing w:after="0"/>
            </w:pPr>
            <w:r/>
            <w:r>
              <w:rPr>
                <w:b w:val="0"/>
              </w:rPr>
              <w:t>Balanced: clean data, calculations, visuals, interpretation</w:t>
            </w:r>
          </w:p>
        </w:tc>
      </w:tr>
      <w:tr>
        <w:tc>
          <w:tcPr>
            <w:tcW w:type="dxa" w:w="2880"/>
            <w:vAlign w:val="top"/>
          </w:tcPr>
          <w:p>
            <w:pPr>
              <w:spacing w:after="0"/>
            </w:pPr>
            <w:r/>
            <w:r>
              <w:rPr>
                <w:b w:val="0"/>
              </w:rPr>
              <w:t>Units 5–6</w:t>
            </w:r>
          </w:p>
        </w:tc>
        <w:tc>
          <w:tcPr>
            <w:tcW w:type="dxa" w:w="4032"/>
            <w:vAlign w:val="top"/>
          </w:tcPr>
          <w:p>
            <w:pPr>
              <w:spacing w:after="0"/>
            </w:pPr>
            <w:r/>
            <w:r>
              <w:rPr>
                <w:b w:val="0"/>
              </w:rPr>
              <w:t>Moderate: peer review, revision, practice</w:t>
            </w:r>
          </w:p>
        </w:tc>
        <w:tc>
          <w:tcPr>
            <w:tcW w:type="dxa" w:w="4032"/>
            <w:vAlign w:val="top"/>
          </w:tcPr>
          <w:p>
            <w:pPr>
              <w:spacing w:after="0"/>
            </w:pPr>
            <w:r/>
            <w:r>
              <w:rPr>
                <w:b w:val="0"/>
              </w:rPr>
              <w:t>High: final report, presentation, showcase, portfolio</w:t>
            </w:r>
          </w:p>
        </w:tc>
      </w:tr>
    </w:tbl>
    <w:p>
      <w:pPr>
        <w:spacing w:after="120"/>
      </w:pPr>
    </w:p>
    <w:p>
      <w:pPr>
        <w:pStyle w:val="Heading1"/>
        <w:spacing w:before="200" w:after="80"/>
      </w:pPr>
      <w:r>
        <w:t>5. Required Rubrics and Scoring Tools</w:t>
      </w:r>
    </w:p>
    <w:p>
      <w:pPr>
        <w:spacing w:after="120"/>
      </w:pPr>
      <w:r>
        <w:t>The portal should include rubrics in the unit appendices, but teachers benefit from knowing which scoring tools matter most. The following tools should be treated as core course rubrics.</w:t>
      </w:r>
    </w:p>
    <w:p>
      <w:pPr/>
      <w:r>
        <w:rPr>
          <w:b/>
        </w:rPr>
        <w:t>Rubric authority:</w:t>
      </w:r>
      <w:r>
        <w:t xml:space="preserve"> Unit 6 Appendix L is the final summative Oral Presentation Rubric. Unit 6 Appendix M scores the public showcase presentation and contributes evidence to the same 15% Oral Presentation category.</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3600"/>
            <w:shd w:fill="C00000"/>
          </w:tcPr>
          <w:p>
            <w:pPr>
              <w:spacing w:after="0"/>
            </w:pPr>
            <w:r/>
            <w:r>
              <w:rPr>
                <w:b/>
                <w:color w:val="FFFFFF"/>
              </w:rPr>
              <w:t>Rubric / Tool</w:t>
            </w:r>
          </w:p>
        </w:tc>
        <w:tc>
          <w:tcPr>
            <w:tcW w:type="dxa" w:w="2016"/>
            <w:shd w:fill="C00000"/>
          </w:tcPr>
          <w:p>
            <w:pPr>
              <w:spacing w:after="0"/>
            </w:pPr>
            <w:r/>
            <w:r>
              <w:rPr>
                <w:b/>
                <w:color w:val="FFFFFF"/>
              </w:rPr>
              <w:t>When Used</w:t>
            </w:r>
          </w:p>
        </w:tc>
        <w:tc>
          <w:tcPr>
            <w:tcW w:type="dxa" w:w="5472"/>
            <w:shd w:fill="C00000"/>
          </w:tcPr>
          <w:p>
            <w:pPr>
              <w:spacing w:after="0"/>
            </w:pPr>
            <w:r/>
            <w:r>
              <w:rPr>
                <w:b/>
                <w:color w:val="FFFFFF"/>
              </w:rPr>
              <w:t>Purpose</w:t>
            </w:r>
          </w:p>
        </w:tc>
        <w:trPr>
          <w:tblHeader/>
        </w:trPr>
      </w:tr>
      <w:tr>
        <w:tc>
          <w:tcPr>
            <w:tcW w:type="dxa" w:w="3600"/>
            <w:vAlign w:val="top"/>
          </w:tcPr>
          <w:p>
            <w:pPr>
              <w:spacing w:after="0"/>
            </w:pPr>
            <w:r/>
            <w:r>
              <w:rPr>
                <w:b w:val="0"/>
              </w:rPr>
              <w:t>Research Journal Rubric</w:t>
            </w:r>
          </w:p>
        </w:tc>
        <w:tc>
          <w:tcPr>
            <w:tcW w:type="dxa" w:w="2016"/>
            <w:vAlign w:val="top"/>
          </w:tcPr>
          <w:p>
            <w:pPr>
              <w:spacing w:after="0"/>
            </w:pPr>
            <w:r/>
            <w:r>
              <w:rPr>
                <w:b w:val="0"/>
              </w:rPr>
              <w:t>Units 3–6</w:t>
            </w:r>
          </w:p>
        </w:tc>
        <w:tc>
          <w:tcPr>
            <w:tcW w:type="dxa" w:w="5472"/>
            <w:vAlign w:val="top"/>
          </w:tcPr>
          <w:p>
            <w:pPr>
              <w:spacing w:after="0"/>
            </w:pPr>
            <w:r/>
            <w:r>
              <w:rPr>
                <w:b w:val="0"/>
              </w:rPr>
              <w:t>Evaluate completeness, specificity, honesty, data links, troubleshooting, and next steps.</w:t>
            </w:r>
          </w:p>
        </w:tc>
      </w:tr>
      <w:tr>
        <w:tc>
          <w:tcPr>
            <w:tcW w:type="dxa" w:w="3600"/>
            <w:vAlign w:val="top"/>
          </w:tcPr>
          <w:p>
            <w:pPr>
              <w:spacing w:after="0"/>
            </w:pPr>
            <w:r/>
            <w:r>
              <w:rPr>
                <w:b w:val="0"/>
              </w:rPr>
              <w:t>Formal Research Plan Rubric or Approval Checklist</w:t>
            </w:r>
          </w:p>
        </w:tc>
        <w:tc>
          <w:tcPr>
            <w:tcW w:type="dxa" w:w="2016"/>
            <w:vAlign w:val="top"/>
          </w:tcPr>
          <w:p>
            <w:pPr>
              <w:spacing w:after="0"/>
            </w:pPr>
            <w:r/>
            <w:r>
              <w:rPr>
                <w:b w:val="0"/>
              </w:rPr>
              <w:t>Unit 2</w:t>
            </w:r>
          </w:p>
        </w:tc>
        <w:tc>
          <w:tcPr>
            <w:tcW w:type="dxa" w:w="5472"/>
            <w:vAlign w:val="top"/>
          </w:tcPr>
          <w:p>
            <w:pPr>
              <w:spacing w:after="0"/>
            </w:pPr>
            <w:r/>
            <w:r>
              <w:rPr>
                <w:b w:val="0"/>
              </w:rPr>
              <w:t>Determine whether a student may begin pilot testing.</w:t>
            </w:r>
          </w:p>
        </w:tc>
      </w:tr>
      <w:tr>
        <w:tc>
          <w:tcPr>
            <w:tcW w:type="dxa" w:w="3600"/>
            <w:vAlign w:val="top"/>
          </w:tcPr>
          <w:p>
            <w:pPr>
              <w:spacing w:after="0"/>
            </w:pPr>
            <w:r/>
            <w:r>
              <w:rPr>
                <w:b w:val="0"/>
              </w:rPr>
              <w:t>Data Collection and Analysis Rubric</w:t>
            </w:r>
          </w:p>
        </w:tc>
        <w:tc>
          <w:tcPr>
            <w:tcW w:type="dxa" w:w="2016"/>
            <w:vAlign w:val="top"/>
          </w:tcPr>
          <w:p>
            <w:pPr>
              <w:spacing w:after="0"/>
            </w:pPr>
            <w:r/>
            <w:r>
              <w:rPr>
                <w:b w:val="0"/>
              </w:rPr>
              <w:t>Units 3–4</w:t>
            </w:r>
          </w:p>
        </w:tc>
        <w:tc>
          <w:tcPr>
            <w:tcW w:type="dxa" w:w="5472"/>
            <w:vAlign w:val="top"/>
          </w:tcPr>
          <w:p>
            <w:pPr>
              <w:spacing w:after="0"/>
            </w:pPr>
            <w:r/>
            <w:r>
              <w:rPr>
                <w:b w:val="0"/>
              </w:rPr>
              <w:t>Evaluate raw data, clean data, analysis method, calculations, graphs, and limitations.</w:t>
            </w:r>
          </w:p>
        </w:tc>
      </w:tr>
      <w:tr>
        <w:tc>
          <w:tcPr>
            <w:tcW w:type="dxa" w:w="3600"/>
            <w:vAlign w:val="top"/>
          </w:tcPr>
          <w:p>
            <w:pPr>
              <w:spacing w:after="0"/>
            </w:pPr>
            <w:r/>
            <w:r>
              <w:rPr>
                <w:b w:val="0"/>
              </w:rPr>
              <w:t>Scientific Report Rubric</w:t>
            </w:r>
          </w:p>
        </w:tc>
        <w:tc>
          <w:tcPr>
            <w:tcW w:type="dxa" w:w="2016"/>
            <w:vAlign w:val="top"/>
          </w:tcPr>
          <w:p>
            <w:pPr>
              <w:spacing w:after="0"/>
            </w:pPr>
            <w:r/>
            <w:r>
              <w:rPr>
                <w:b w:val="0"/>
              </w:rPr>
              <w:t>Unit 5</w:t>
            </w:r>
          </w:p>
        </w:tc>
        <w:tc>
          <w:tcPr>
            <w:tcW w:type="dxa" w:w="5472"/>
            <w:vAlign w:val="top"/>
          </w:tcPr>
          <w:p>
            <w:pPr>
              <w:spacing w:after="0"/>
            </w:pPr>
            <w:r/>
            <w:r>
              <w:rPr>
                <w:b w:val="0"/>
              </w:rPr>
              <w:t>Evaluate report sections, evidence use, figures, captions, scientific accuracy, organization, and writing quality.</w:t>
            </w:r>
          </w:p>
        </w:tc>
      </w:tr>
      <w:tr>
        <w:tc>
          <w:tcPr>
            <w:tcW w:type="dxa" w:w="3600"/>
            <w:vAlign w:val="top"/>
          </w:tcPr>
          <w:p>
            <w:pPr>
              <w:spacing w:after="0"/>
            </w:pPr>
            <w:r/>
            <w:r>
              <w:rPr>
                <w:b w:val="0"/>
              </w:rPr>
              <w:t>Peer Review Quality Rubric</w:t>
            </w:r>
          </w:p>
        </w:tc>
        <w:tc>
          <w:tcPr>
            <w:tcW w:type="dxa" w:w="2016"/>
            <w:vAlign w:val="top"/>
          </w:tcPr>
          <w:p>
            <w:pPr>
              <w:spacing w:after="0"/>
            </w:pPr>
            <w:r/>
            <w:r>
              <w:rPr>
                <w:b w:val="0"/>
              </w:rPr>
              <w:t>Unit 5</w:t>
            </w:r>
          </w:p>
        </w:tc>
        <w:tc>
          <w:tcPr>
            <w:tcW w:type="dxa" w:w="5472"/>
            <w:vAlign w:val="top"/>
          </w:tcPr>
          <w:p>
            <w:pPr>
              <w:spacing w:after="0"/>
            </w:pPr>
            <w:r/>
            <w:r>
              <w:rPr>
                <w:b w:val="0"/>
              </w:rPr>
              <w:t>Evaluate whether feedback is specific, useful, evidence-based, and professional.</w:t>
            </w:r>
          </w:p>
        </w:tc>
      </w:tr>
      <w:tr>
        <w:tc>
          <w:tcPr>
            <w:tcW w:type="dxa" w:w="3600"/>
            <w:vAlign w:val="top"/>
          </w:tcPr>
          <w:p>
            <w:r>
              <w:t>Oral Presentation Rubric - Unit 6 Appendix L</w:t>
            </w:r>
          </w:p>
        </w:tc>
        <w:tc>
          <w:tcPr>
            <w:tcW w:type="dxa" w:w="2016"/>
            <w:vAlign w:val="top"/>
          </w:tcPr>
          <w:p>
            <w:r>
              <w:t>Unit 6; final summative presentation</w:t>
            </w:r>
          </w:p>
        </w:tc>
        <w:tc>
          <w:tcPr>
            <w:tcW w:type="dxa" w:w="5472"/>
            <w:vAlign w:val="top"/>
          </w:tcPr>
          <w:p>
            <w:r>
              <w:t>Authoritative summative rubric for research understanding, organization, evidence explanation, visual aid use, delivery, limitations/future work, and response to questions.</w:t>
            </w:r>
          </w:p>
        </w:tc>
      </w:tr>
      <w:tr>
        <w:tc>
          <w:tcPr>
            <w:tcW w:type="dxa" w:w="3600"/>
            <w:vAlign w:val="top"/>
          </w:tcPr>
          <w:p>
            <w:r>
              <w:t>Showcase Rubric - Unit 6 Appendix M</w:t>
            </w:r>
          </w:p>
        </w:tc>
        <w:tc>
          <w:tcPr>
            <w:tcW w:type="dxa" w:w="2016"/>
            <w:vAlign w:val="top"/>
          </w:tcPr>
          <w:p>
            <w:r>
              <w:t>Unit 6; required public showcase</w:t>
            </w:r>
          </w:p>
        </w:tc>
        <w:tc>
          <w:tcPr>
            <w:tcW w:type="dxa" w:w="5472"/>
            <w:vAlign w:val="top"/>
          </w:tcPr>
          <w:p>
            <w:r>
              <w:t>Official scoring instrument for the public showcase presentation. Record this evidence within the existing Oral Presentation category rather than creating a separate gradebook category.</w:t>
            </w:r>
          </w:p>
        </w:tc>
      </w:tr>
    </w:tbl>
    <w:p>
      <w:pPr>
        <w:spacing w:after="120"/>
      </w:pPr>
    </w:p>
    <w:p>
      <w:pPr>
        <w:pStyle w:val="Heading2"/>
        <w:spacing w:before="200" w:after="80"/>
      </w:pPr>
      <w:r>
        <w:t>Sample Research Journal Rubric</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045"/>
        <w:gridCol w:w="2045"/>
        <w:gridCol w:w="2045"/>
        <w:gridCol w:w="2045"/>
        <w:gridCol w:w="2045"/>
      </w:tblGrid>
      <w:tr>
        <w:tc>
          <w:tcPr>
            <w:tcW w:type="dxa" w:w="1872"/>
            <w:shd w:fill="C00000"/>
          </w:tcPr>
          <w:p>
            <w:pPr>
              <w:spacing w:after="0"/>
            </w:pPr>
            <w:r/>
            <w:r>
              <w:rPr>
                <w:b/>
                <w:color w:val="FFFFFF"/>
              </w:rPr>
              <w:t>Category</w:t>
            </w:r>
          </w:p>
        </w:tc>
        <w:tc>
          <w:tcPr>
            <w:tcW w:type="dxa" w:w="2376"/>
            <w:shd w:fill="C00000"/>
          </w:tcPr>
          <w:p>
            <w:pPr>
              <w:spacing w:after="0"/>
            </w:pPr>
            <w:r/>
            <w:r>
              <w:rPr>
                <w:b/>
                <w:color w:val="FFFFFF"/>
              </w:rPr>
              <w:t>4 - Advanced</w:t>
            </w:r>
          </w:p>
        </w:tc>
        <w:tc>
          <w:tcPr>
            <w:tcW w:type="dxa" w:w="2376"/>
            <w:shd w:fill="C00000"/>
          </w:tcPr>
          <w:p>
            <w:pPr>
              <w:spacing w:after="0"/>
            </w:pPr>
            <w:r/>
            <w:r>
              <w:rPr>
                <w:b/>
                <w:color w:val="FFFFFF"/>
              </w:rPr>
              <w:t>3 - Proficient</w:t>
            </w:r>
          </w:p>
        </w:tc>
        <w:tc>
          <w:tcPr>
            <w:tcW w:type="dxa" w:w="2376"/>
            <w:shd w:fill="C00000"/>
          </w:tcPr>
          <w:p>
            <w:pPr>
              <w:spacing w:after="0"/>
            </w:pPr>
            <w:r/>
            <w:r>
              <w:rPr>
                <w:b/>
                <w:color w:val="FFFFFF"/>
              </w:rPr>
              <w:t>2 - Developing</w:t>
            </w:r>
          </w:p>
        </w:tc>
        <w:tc>
          <w:tcPr>
            <w:tcW w:type="dxa" w:w="2376"/>
            <w:shd w:fill="C00000"/>
          </w:tcPr>
          <w:p>
            <w:pPr>
              <w:spacing w:after="0"/>
            </w:pPr>
            <w:r/>
            <w:r>
              <w:rPr>
                <w:b/>
                <w:color w:val="FFFFFF"/>
              </w:rPr>
              <w:t>1 - Beginning</w:t>
            </w:r>
          </w:p>
        </w:tc>
        <w:trPr>
          <w:tblHeader/>
        </w:trPr>
      </w:tr>
      <w:tr>
        <w:tc>
          <w:tcPr>
            <w:tcW w:type="dxa" w:w="1872"/>
            <w:vAlign w:val="top"/>
          </w:tcPr>
          <w:p>
            <w:pPr>
              <w:spacing w:after="0"/>
            </w:pPr>
            <w:r/>
            <w:r>
              <w:rPr>
                <w:b w:val="0"/>
              </w:rPr>
              <w:t>Completeness</w:t>
            </w:r>
          </w:p>
        </w:tc>
        <w:tc>
          <w:tcPr>
            <w:tcW w:type="dxa" w:w="2376"/>
            <w:vAlign w:val="top"/>
          </w:tcPr>
          <w:p>
            <w:pPr>
              <w:spacing w:after="0"/>
            </w:pPr>
            <w:r/>
            <w:r>
              <w:rPr>
                <w:b w:val="0"/>
              </w:rPr>
              <w:t>Entries document goals, actions, data, problems, decisions, and next steps consistently.</w:t>
            </w:r>
          </w:p>
        </w:tc>
        <w:tc>
          <w:tcPr>
            <w:tcW w:type="dxa" w:w="2376"/>
            <w:vAlign w:val="top"/>
          </w:tcPr>
          <w:p>
            <w:pPr>
              <w:spacing w:after="0"/>
            </w:pPr>
            <w:r/>
            <w:r>
              <w:rPr>
                <w:b w:val="0"/>
              </w:rPr>
              <w:t>Most entries include required elements.</w:t>
            </w:r>
          </w:p>
        </w:tc>
        <w:tc>
          <w:tcPr>
            <w:tcW w:type="dxa" w:w="2376"/>
            <w:vAlign w:val="top"/>
          </w:tcPr>
          <w:p>
            <w:pPr>
              <w:spacing w:after="0"/>
            </w:pPr>
            <w:r/>
            <w:r>
              <w:rPr>
                <w:b w:val="0"/>
              </w:rPr>
              <w:t>Entries are inconsistent or missing important elements.</w:t>
            </w:r>
          </w:p>
        </w:tc>
        <w:tc>
          <w:tcPr>
            <w:tcW w:type="dxa" w:w="2376"/>
            <w:vAlign w:val="top"/>
          </w:tcPr>
          <w:p>
            <w:pPr>
              <w:spacing w:after="0"/>
            </w:pPr>
            <w:r/>
            <w:r>
              <w:rPr>
                <w:b w:val="0"/>
              </w:rPr>
              <w:t>Journal is sparse, incomplete, or difficult to evaluate.</w:t>
            </w:r>
          </w:p>
        </w:tc>
      </w:tr>
      <w:tr>
        <w:tc>
          <w:tcPr>
            <w:tcW w:type="dxa" w:w="1872"/>
            <w:vAlign w:val="top"/>
          </w:tcPr>
          <w:p>
            <w:pPr>
              <w:spacing w:after="0"/>
            </w:pPr>
            <w:r/>
            <w:r>
              <w:rPr>
                <w:b w:val="0"/>
              </w:rPr>
              <w:t>Specificity</w:t>
            </w:r>
          </w:p>
        </w:tc>
        <w:tc>
          <w:tcPr>
            <w:tcW w:type="dxa" w:w="2376"/>
            <w:vAlign w:val="top"/>
          </w:tcPr>
          <w:p>
            <w:pPr>
              <w:spacing w:after="0"/>
            </w:pPr>
            <w:r/>
            <w:r>
              <w:rPr>
                <w:b w:val="0"/>
              </w:rPr>
              <w:t>Entries include dates, trials, file names, measurements, conditions, and precise observations.</w:t>
            </w:r>
          </w:p>
        </w:tc>
        <w:tc>
          <w:tcPr>
            <w:tcW w:type="dxa" w:w="2376"/>
            <w:vAlign w:val="top"/>
          </w:tcPr>
          <w:p>
            <w:pPr>
              <w:spacing w:after="0"/>
            </w:pPr>
            <w:r/>
            <w:r>
              <w:rPr>
                <w:b w:val="0"/>
              </w:rPr>
              <w:t>Entries are generally specific enough to understand the work.</w:t>
            </w:r>
          </w:p>
        </w:tc>
        <w:tc>
          <w:tcPr>
            <w:tcW w:type="dxa" w:w="2376"/>
            <w:vAlign w:val="top"/>
          </w:tcPr>
          <w:p>
            <w:pPr>
              <w:spacing w:after="0"/>
            </w:pPr>
            <w:r/>
            <w:r>
              <w:rPr>
                <w:b w:val="0"/>
              </w:rPr>
              <w:t>Entries are often vague or rely on memory.</w:t>
            </w:r>
          </w:p>
        </w:tc>
        <w:tc>
          <w:tcPr>
            <w:tcW w:type="dxa" w:w="2376"/>
            <w:vAlign w:val="top"/>
          </w:tcPr>
          <w:p>
            <w:pPr>
              <w:spacing w:after="0"/>
            </w:pPr>
            <w:r/>
            <w:r>
              <w:rPr>
                <w:b w:val="0"/>
              </w:rPr>
              <w:t>Entries are too vague to reconstruct the research process.</w:t>
            </w:r>
          </w:p>
        </w:tc>
      </w:tr>
      <w:tr>
        <w:tc>
          <w:tcPr>
            <w:tcW w:type="dxa" w:w="1872"/>
            <w:vAlign w:val="top"/>
          </w:tcPr>
          <w:p>
            <w:pPr>
              <w:spacing w:after="0"/>
            </w:pPr>
            <w:r/>
            <w:r>
              <w:rPr>
                <w:b w:val="0"/>
              </w:rPr>
              <w:t>Honesty and Integrity</w:t>
            </w:r>
          </w:p>
        </w:tc>
        <w:tc>
          <w:tcPr>
            <w:tcW w:type="dxa" w:w="2376"/>
            <w:vAlign w:val="top"/>
          </w:tcPr>
          <w:p>
            <w:pPr>
              <w:spacing w:after="0"/>
            </w:pPr>
            <w:r/>
            <w:r>
              <w:rPr>
                <w:b w:val="0"/>
              </w:rPr>
              <w:t>Failed trials, questionable data, and method changes are documented clearly.</w:t>
            </w:r>
          </w:p>
        </w:tc>
        <w:tc>
          <w:tcPr>
            <w:tcW w:type="dxa" w:w="2376"/>
            <w:vAlign w:val="top"/>
          </w:tcPr>
          <w:p>
            <w:pPr>
              <w:spacing w:after="0"/>
            </w:pPr>
            <w:r/>
            <w:r>
              <w:rPr>
                <w:b w:val="0"/>
              </w:rPr>
              <w:t>Most issues and revisions are documented.</w:t>
            </w:r>
          </w:p>
        </w:tc>
        <w:tc>
          <w:tcPr>
            <w:tcW w:type="dxa" w:w="2376"/>
            <w:vAlign w:val="top"/>
          </w:tcPr>
          <w:p>
            <w:pPr>
              <w:spacing w:after="0"/>
            </w:pPr>
            <w:r/>
            <w:r>
              <w:rPr>
                <w:b w:val="0"/>
              </w:rPr>
              <w:t>Some problems are mentioned but not explained.</w:t>
            </w:r>
          </w:p>
        </w:tc>
        <w:tc>
          <w:tcPr>
            <w:tcW w:type="dxa" w:w="2376"/>
            <w:vAlign w:val="top"/>
          </w:tcPr>
          <w:p>
            <w:pPr>
              <w:spacing w:after="0"/>
            </w:pPr>
            <w:r/>
            <w:r>
              <w:rPr>
                <w:b w:val="0"/>
              </w:rPr>
              <w:t>Problems, failures, or changes are hidden or missing.</w:t>
            </w:r>
          </w:p>
        </w:tc>
      </w:tr>
      <w:tr>
        <w:tc>
          <w:tcPr>
            <w:tcW w:type="dxa" w:w="1872"/>
            <w:vAlign w:val="top"/>
          </w:tcPr>
          <w:p>
            <w:pPr>
              <w:spacing w:after="0"/>
            </w:pPr>
            <w:r/>
            <w:r>
              <w:rPr>
                <w:b w:val="0"/>
              </w:rPr>
              <w:t>Connection to Evidence</w:t>
            </w:r>
          </w:p>
        </w:tc>
        <w:tc>
          <w:tcPr>
            <w:tcW w:type="dxa" w:w="2376"/>
            <w:vAlign w:val="top"/>
          </w:tcPr>
          <w:p>
            <w:pPr>
              <w:spacing w:after="0"/>
            </w:pPr>
            <w:r/>
            <w:r>
              <w:rPr>
                <w:b w:val="0"/>
              </w:rPr>
              <w:t>Journal links to raw data, photos, files, graphs, or tables.</w:t>
            </w:r>
          </w:p>
        </w:tc>
        <w:tc>
          <w:tcPr>
            <w:tcW w:type="dxa" w:w="2376"/>
            <w:vAlign w:val="top"/>
          </w:tcPr>
          <w:p>
            <w:pPr>
              <w:spacing w:after="0"/>
            </w:pPr>
            <w:r/>
            <w:r>
              <w:rPr>
                <w:b w:val="0"/>
              </w:rPr>
              <w:t>Journal usually identifies where evidence is stored.</w:t>
            </w:r>
          </w:p>
        </w:tc>
        <w:tc>
          <w:tcPr>
            <w:tcW w:type="dxa" w:w="2376"/>
            <w:vAlign w:val="top"/>
          </w:tcPr>
          <w:p>
            <w:pPr>
              <w:spacing w:after="0"/>
            </w:pPr>
            <w:r/>
            <w:r>
              <w:rPr>
                <w:b w:val="0"/>
              </w:rPr>
              <w:t>Evidence locations are inconsistent or hard to follow.</w:t>
            </w:r>
          </w:p>
        </w:tc>
        <w:tc>
          <w:tcPr>
            <w:tcW w:type="dxa" w:w="2376"/>
            <w:vAlign w:val="top"/>
          </w:tcPr>
          <w:p>
            <w:pPr>
              <w:spacing w:after="0"/>
            </w:pPr>
            <w:r/>
            <w:r>
              <w:rPr>
                <w:b w:val="0"/>
              </w:rPr>
              <w:t>Journal is disconnected from evidence.</w:t>
            </w:r>
          </w:p>
        </w:tc>
      </w:tr>
      <w:tr>
        <w:tc>
          <w:tcPr>
            <w:tcW w:type="dxa" w:w="1872"/>
            <w:vAlign w:val="top"/>
          </w:tcPr>
          <w:p>
            <w:pPr>
              <w:spacing w:after="0"/>
            </w:pPr>
            <w:r/>
            <w:r>
              <w:rPr>
                <w:b w:val="0"/>
              </w:rPr>
              <w:t>Next Steps</w:t>
            </w:r>
          </w:p>
        </w:tc>
        <w:tc>
          <w:tcPr>
            <w:tcW w:type="dxa" w:w="2376"/>
            <w:vAlign w:val="top"/>
          </w:tcPr>
          <w:p>
            <w:pPr>
              <w:spacing w:after="0"/>
            </w:pPr>
            <w:r/>
            <w:r>
              <w:rPr>
                <w:b w:val="0"/>
              </w:rPr>
              <w:t>Entries end with clear, actionable next steps.</w:t>
            </w:r>
          </w:p>
        </w:tc>
        <w:tc>
          <w:tcPr>
            <w:tcW w:type="dxa" w:w="2376"/>
            <w:vAlign w:val="top"/>
          </w:tcPr>
          <w:p>
            <w:pPr>
              <w:spacing w:after="0"/>
            </w:pPr>
            <w:r/>
            <w:r>
              <w:rPr>
                <w:b w:val="0"/>
              </w:rPr>
              <w:t>Most entries include reasonable next steps.</w:t>
            </w:r>
          </w:p>
        </w:tc>
        <w:tc>
          <w:tcPr>
            <w:tcW w:type="dxa" w:w="2376"/>
            <w:vAlign w:val="top"/>
          </w:tcPr>
          <w:p>
            <w:pPr>
              <w:spacing w:after="0"/>
            </w:pPr>
            <w:r/>
            <w:r>
              <w:rPr>
                <w:b w:val="0"/>
              </w:rPr>
              <w:t>Next steps are vague or irregular.</w:t>
            </w:r>
          </w:p>
        </w:tc>
        <w:tc>
          <w:tcPr>
            <w:tcW w:type="dxa" w:w="2376"/>
            <w:vAlign w:val="top"/>
          </w:tcPr>
          <w:p>
            <w:pPr>
              <w:spacing w:after="0"/>
            </w:pPr>
            <w:r/>
            <w:r>
              <w:rPr>
                <w:b w:val="0"/>
              </w:rPr>
              <w:t>Next steps are missing.</w:t>
            </w:r>
          </w:p>
        </w:tc>
      </w:tr>
    </w:tbl>
    <w:p>
      <w:pPr>
        <w:spacing w:after="120"/>
      </w:pPr>
    </w:p>
    <w:p>
      <w:pPr>
        <w:pStyle w:val="Heading1"/>
        <w:spacing w:before="200" w:after="80"/>
      </w:pPr>
      <w:r>
        <w:t>6. Research Journal Assessment</w:t>
      </w:r>
    </w:p>
    <w:p>
      <w:pPr>
        <w:spacing w:after="120"/>
      </w:pPr>
      <w:r>
        <w:t>The research journal is one of the most important assessment tools in STARLAB. It shows whether the student is actually thinking and working like a researcher.</w:t>
      </w:r>
    </w:p>
    <w:p>
      <w:pPr>
        <w:pStyle w:val="Heading2"/>
        <w:spacing w:before="200" w:after="80"/>
      </w:pPr>
      <w:r>
        <w:t>Recommended journal check schedule</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2448"/>
            <w:shd w:fill="C00000"/>
          </w:tcPr>
          <w:p>
            <w:pPr>
              <w:spacing w:after="0"/>
            </w:pPr>
            <w:r/>
            <w:r>
              <w:rPr>
                <w:b/>
                <w:color w:val="FFFFFF"/>
              </w:rPr>
              <w:t>Checkpoint</w:t>
            </w:r>
          </w:p>
        </w:tc>
        <w:tc>
          <w:tcPr>
            <w:tcW w:type="dxa" w:w="2016"/>
            <w:shd w:fill="C00000"/>
          </w:tcPr>
          <w:p>
            <w:pPr>
              <w:spacing w:after="0"/>
            </w:pPr>
            <w:r/>
            <w:r>
              <w:rPr>
                <w:b/>
                <w:color w:val="FFFFFF"/>
              </w:rPr>
              <w:t>Timing</w:t>
            </w:r>
          </w:p>
        </w:tc>
        <w:tc>
          <w:tcPr>
            <w:tcW w:type="dxa" w:w="6768"/>
            <w:shd w:fill="C00000"/>
          </w:tcPr>
          <w:p>
            <w:pPr>
              <w:spacing w:after="0"/>
            </w:pPr>
            <w:r/>
            <w:r>
              <w:rPr>
                <w:b/>
                <w:color w:val="FFFFFF"/>
              </w:rPr>
              <w:t>Teacher Action</w:t>
            </w:r>
          </w:p>
        </w:tc>
        <w:trPr>
          <w:tblHeader/>
        </w:trPr>
      </w:tr>
      <w:tr>
        <w:tc>
          <w:tcPr>
            <w:tcW w:type="dxa" w:w="2448"/>
            <w:vAlign w:val="top"/>
          </w:tcPr>
          <w:p>
            <w:pPr>
              <w:spacing w:after="0"/>
            </w:pPr>
            <w:r/>
            <w:r>
              <w:rPr>
                <w:b w:val="0"/>
              </w:rPr>
              <w:t>Setup check</w:t>
            </w:r>
          </w:p>
        </w:tc>
        <w:tc>
          <w:tcPr>
            <w:tcW w:type="dxa" w:w="2016"/>
            <w:vAlign w:val="top"/>
          </w:tcPr>
          <w:p>
            <w:pPr>
              <w:spacing w:after="0"/>
            </w:pPr>
            <w:r/>
            <w:r>
              <w:rPr>
                <w:b w:val="0"/>
              </w:rPr>
              <w:t>Week 5</w:t>
            </w:r>
          </w:p>
        </w:tc>
        <w:tc>
          <w:tcPr>
            <w:tcW w:type="dxa" w:w="6768"/>
            <w:vAlign w:val="top"/>
          </w:tcPr>
          <w:p>
            <w:pPr>
              <w:spacing w:after="0"/>
            </w:pPr>
            <w:r/>
            <w:r>
              <w:rPr>
                <w:b w:val="0"/>
              </w:rPr>
              <w:t>Confirm journal location, access, and required structure.</w:t>
            </w:r>
          </w:p>
        </w:tc>
      </w:tr>
      <w:tr>
        <w:tc>
          <w:tcPr>
            <w:tcW w:type="dxa" w:w="2448"/>
            <w:vAlign w:val="top"/>
          </w:tcPr>
          <w:p>
            <w:pPr>
              <w:spacing w:after="0"/>
            </w:pPr>
            <w:r/>
            <w:r>
              <w:rPr>
                <w:b w:val="0"/>
              </w:rPr>
              <w:t>Quick weekly scan</w:t>
            </w:r>
          </w:p>
        </w:tc>
        <w:tc>
          <w:tcPr>
            <w:tcW w:type="dxa" w:w="2016"/>
            <w:vAlign w:val="top"/>
          </w:tcPr>
          <w:p>
            <w:pPr>
              <w:spacing w:after="0"/>
            </w:pPr>
            <w:r/>
            <w:r>
              <w:rPr>
                <w:b w:val="0"/>
              </w:rPr>
              <w:t>Weeks 5–16</w:t>
            </w:r>
          </w:p>
        </w:tc>
        <w:tc>
          <w:tcPr>
            <w:tcW w:type="dxa" w:w="6768"/>
            <w:vAlign w:val="top"/>
          </w:tcPr>
          <w:p>
            <w:pPr>
              <w:spacing w:after="0"/>
            </w:pPr>
            <w:r/>
            <w:r>
              <w:rPr>
                <w:b w:val="0"/>
              </w:rPr>
              <w:t>Check for current entries, data links, problems, and next steps.</w:t>
            </w:r>
          </w:p>
        </w:tc>
      </w:tr>
      <w:tr>
        <w:tc>
          <w:tcPr>
            <w:tcW w:type="dxa" w:w="2448"/>
            <w:vAlign w:val="top"/>
          </w:tcPr>
          <w:p>
            <w:pPr>
              <w:spacing w:after="0"/>
            </w:pPr>
            <w:r/>
            <w:r>
              <w:rPr>
                <w:b w:val="0"/>
              </w:rPr>
              <w:t>Midpoint review</w:t>
            </w:r>
          </w:p>
        </w:tc>
        <w:tc>
          <w:tcPr>
            <w:tcW w:type="dxa" w:w="2016"/>
            <w:vAlign w:val="top"/>
          </w:tcPr>
          <w:p>
            <w:pPr>
              <w:spacing w:after="0"/>
            </w:pPr>
            <w:r/>
            <w:r>
              <w:rPr>
                <w:b w:val="0"/>
              </w:rPr>
              <w:t>Week 12</w:t>
            </w:r>
          </w:p>
        </w:tc>
        <w:tc>
          <w:tcPr>
            <w:tcW w:type="dxa" w:w="6768"/>
            <w:vAlign w:val="top"/>
          </w:tcPr>
          <w:p>
            <w:pPr>
              <w:spacing w:after="0"/>
            </w:pPr>
            <w:r/>
            <w:r>
              <w:rPr>
                <w:b w:val="0"/>
              </w:rPr>
              <w:t>Use journal to verify progress report claims.</w:t>
            </w:r>
          </w:p>
        </w:tc>
      </w:tr>
      <w:tr>
        <w:tc>
          <w:tcPr>
            <w:tcW w:type="dxa" w:w="2448"/>
            <w:vAlign w:val="top"/>
          </w:tcPr>
          <w:p>
            <w:pPr>
              <w:spacing w:after="0"/>
            </w:pPr>
            <w:r/>
            <w:r>
              <w:rPr>
                <w:b w:val="0"/>
              </w:rPr>
              <w:t>Analysis readiness check</w:t>
            </w:r>
          </w:p>
        </w:tc>
        <w:tc>
          <w:tcPr>
            <w:tcW w:type="dxa" w:w="2016"/>
            <w:vAlign w:val="top"/>
          </w:tcPr>
          <w:p>
            <w:pPr>
              <w:spacing w:after="0"/>
            </w:pPr>
            <w:r/>
            <w:r>
              <w:rPr>
                <w:b w:val="0"/>
              </w:rPr>
              <w:t>Week 16</w:t>
            </w:r>
          </w:p>
        </w:tc>
        <w:tc>
          <w:tcPr>
            <w:tcW w:type="dxa" w:w="6768"/>
            <w:vAlign w:val="top"/>
          </w:tcPr>
          <w:p>
            <w:pPr>
              <w:spacing w:after="0"/>
            </w:pPr>
            <w:r/>
            <w:r>
              <w:rPr>
                <w:b w:val="0"/>
              </w:rPr>
              <w:t>Confirm journal documents pilot testing, method revisions, data collection, and limitations.</w:t>
            </w:r>
          </w:p>
        </w:tc>
      </w:tr>
      <w:tr>
        <w:tc>
          <w:tcPr>
            <w:tcW w:type="dxa" w:w="2448"/>
            <w:vAlign w:val="top"/>
          </w:tcPr>
          <w:p>
            <w:pPr>
              <w:spacing w:after="0"/>
            </w:pPr>
            <w:r/>
            <w:r>
              <w:rPr>
                <w:b w:val="0"/>
              </w:rPr>
              <w:t>Report writing reference check</w:t>
            </w:r>
          </w:p>
        </w:tc>
        <w:tc>
          <w:tcPr>
            <w:tcW w:type="dxa" w:w="2016"/>
            <w:vAlign w:val="top"/>
          </w:tcPr>
          <w:p>
            <w:pPr>
              <w:spacing w:after="0"/>
            </w:pPr>
            <w:r/>
            <w:r>
              <w:rPr>
                <w:b w:val="0"/>
              </w:rPr>
              <w:t>Weeks 21–26</w:t>
            </w:r>
          </w:p>
        </w:tc>
        <w:tc>
          <w:tcPr>
            <w:tcW w:type="dxa" w:w="6768"/>
            <w:vAlign w:val="top"/>
          </w:tcPr>
          <w:p>
            <w:pPr>
              <w:spacing w:after="0"/>
            </w:pPr>
            <w:r/>
            <w:r>
              <w:rPr>
                <w:b w:val="0"/>
              </w:rPr>
              <w:t>Require students to use journal entries to write methods, results, and discussion.</w:t>
            </w:r>
          </w:p>
        </w:tc>
      </w:tr>
      <w:tr>
        <w:tc>
          <w:tcPr>
            <w:tcW w:type="dxa" w:w="2448"/>
            <w:vAlign w:val="top"/>
          </w:tcPr>
          <w:p>
            <w:pPr>
              <w:spacing w:after="0"/>
            </w:pPr>
            <w:r/>
            <w:r>
              <w:rPr>
                <w:b w:val="0"/>
              </w:rPr>
              <w:t>Final portfolio check</w:t>
            </w:r>
          </w:p>
        </w:tc>
        <w:tc>
          <w:tcPr>
            <w:tcW w:type="dxa" w:w="2016"/>
            <w:vAlign w:val="top"/>
          </w:tcPr>
          <w:p>
            <w:pPr>
              <w:spacing w:after="0"/>
            </w:pPr>
            <w:r/>
            <w:r>
              <w:rPr>
                <w:b w:val="0"/>
              </w:rPr>
              <w:t>Week 34</w:t>
            </w:r>
          </w:p>
        </w:tc>
        <w:tc>
          <w:tcPr>
            <w:tcW w:type="dxa" w:w="6768"/>
            <w:vAlign w:val="top"/>
          </w:tcPr>
          <w:p>
            <w:pPr>
              <w:spacing w:after="0"/>
            </w:pPr>
            <w:r/>
            <w:r>
              <w:rPr>
                <w:b w:val="0"/>
              </w:rPr>
              <w:t>Students select journal excerpts that show growth and research process.</w:t>
            </w:r>
          </w:p>
        </w:tc>
      </w:tr>
    </w:tbl>
    <w:p>
      <w:pPr>
        <w:spacing w:after="120"/>
      </w:pPr>
    </w:p>
    <w:p>
      <w:pPr>
        <w:pStyle w:val="Heading2"/>
        <w:spacing w:before="200" w:after="80"/>
      </w:pPr>
      <w:r>
        <w:t>Fast journal check method</w:t>
      </w:r>
    </w:p>
    <w:p>
      <w:pPr>
        <w:pStyle w:val="ListNumber"/>
      </w:pPr>
      <w:r>
        <w:t>Ask the student to open the most recent entry.</w:t>
      </w:r>
    </w:p>
    <w:p>
      <w:pPr>
        <w:pStyle w:val="ListNumber"/>
      </w:pPr>
      <w:r>
        <w:t>Ask: “What did you actually do since the last check?”</w:t>
      </w:r>
    </w:p>
    <w:p>
      <w:pPr>
        <w:pStyle w:val="ListNumber"/>
      </w:pPr>
      <w:r>
        <w:t>Ask: “Where is the evidence or data from that work?”</w:t>
      </w:r>
    </w:p>
    <w:p>
      <w:pPr>
        <w:pStyle w:val="ListNumber"/>
      </w:pPr>
      <w:r>
        <w:t>Ask: “What changed, and why?”</w:t>
      </w:r>
    </w:p>
    <w:p>
      <w:pPr>
        <w:pStyle w:val="ListNumber"/>
      </w:pPr>
      <w:r>
        <w:t>Ask: “What is your next specific action?”</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224"/>
      </w:tblGrid>
      <w:tr>
        <w:tc>
          <w:tcPr>
            <w:tcW w:type="dxa" w:w="10224"/>
            <w:shd w:fill="F2F2F2"/>
          </w:tcPr>
          <w:p>
            <w:r>
              <w:rPr>
                <w:b/>
                <w:color w:val="C00000"/>
              </w:rPr>
              <w:t>Journal grading caution</w:t>
            </w:r>
          </w:p>
          <w:p>
            <w:pPr>
              <w:spacing w:after="0"/>
            </w:pPr>
            <w:r>
              <w:t>Do not grade journals only by length. A short, precise entry with data links and a clear next step is stronger than a long vague paragraph.</w:t>
            </w:r>
          </w:p>
        </w:tc>
        <w:trPr>
          <w:tblHeader/>
        </w:trPr>
      </w:tr>
    </w:tbl>
    <w:p>
      <w:pPr>
        <w:spacing w:after="120"/>
      </w:pPr>
    </w:p>
    <w:p>
      <w:pPr>
        <w:pStyle w:val="Heading1"/>
        <w:spacing w:before="200" w:after="80"/>
      </w:pPr>
      <w:r>
        <w:t>7. Work Day and Conference Assessment</w:t>
      </w:r>
    </w:p>
    <w:p>
      <w:pPr>
        <w:spacing w:after="120"/>
      </w:pPr>
      <w:r>
        <w:t>STARLAB work days can look less uniform than traditional class periods. Assessment helps make independence visible and accountable.</w:t>
      </w:r>
    </w:p>
    <w:p>
      <w:pPr>
        <w:pStyle w:val="Heading2"/>
        <w:spacing w:before="200" w:after="80"/>
      </w:pPr>
      <w:r>
        <w:t>Work day evidence teachers can check quickly</w:t>
      </w:r>
    </w:p>
    <w:p>
      <w:pPr>
        <w:pStyle w:val="ListBullet"/>
      </w:pPr>
      <w:r>
        <w:t>Current journal entry started or completed.</w:t>
      </w:r>
    </w:p>
    <w:p>
      <w:pPr>
        <w:pStyle w:val="ListBullet"/>
      </w:pPr>
      <w:r>
        <w:t>Materials set up safely.</w:t>
      </w:r>
    </w:p>
    <w:p>
      <w:pPr>
        <w:pStyle w:val="ListBullet"/>
      </w:pPr>
      <w:r>
        <w:t>Data table open and ready.</w:t>
      </w:r>
    </w:p>
    <w:p>
      <w:pPr>
        <w:pStyle w:val="ListBullet"/>
      </w:pPr>
      <w:r>
        <w:t>Approved procedure being followed.</w:t>
      </w:r>
    </w:p>
    <w:p>
      <w:pPr>
        <w:pStyle w:val="ListBullet"/>
      </w:pPr>
      <w:r>
        <w:t>Raw data recorded immediately.</w:t>
      </w:r>
    </w:p>
    <w:p>
      <w:pPr>
        <w:pStyle w:val="ListBullet"/>
      </w:pPr>
      <w:r>
        <w:t>Problem or next action documented.</w:t>
      </w:r>
    </w:p>
    <w:p>
      <w:pPr>
        <w:pStyle w:val="ListBullet"/>
      </w:pPr>
      <w:r>
        <w:t>Student can explain what they are doing and why.</w:t>
      </w:r>
    </w:p>
    <w:p>
      <w:pPr>
        <w:pStyle w:val="Heading2"/>
        <w:spacing w:before="200" w:after="80"/>
      </w:pPr>
      <w:r>
        <w:t>Sample work day score</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112"/>
        <w:gridCol w:w="5112"/>
      </w:tblGrid>
      <w:tr>
        <w:tc>
          <w:tcPr>
            <w:tcW w:type="dxa" w:w="1440"/>
            <w:shd w:fill="C00000"/>
          </w:tcPr>
          <w:p>
            <w:pPr>
              <w:spacing w:after="0"/>
            </w:pPr>
            <w:r/>
            <w:r>
              <w:rPr>
                <w:b/>
                <w:color w:val="FFFFFF"/>
              </w:rPr>
              <w:t>Score</w:t>
            </w:r>
          </w:p>
        </w:tc>
        <w:tc>
          <w:tcPr>
            <w:tcW w:type="dxa" w:w="9504"/>
            <w:shd w:fill="C00000"/>
          </w:tcPr>
          <w:p>
            <w:pPr>
              <w:spacing w:after="0"/>
            </w:pPr>
            <w:r/>
            <w:r>
              <w:rPr>
                <w:b/>
                <w:color w:val="FFFFFF"/>
              </w:rPr>
              <w:t>Description</w:t>
            </w:r>
          </w:p>
        </w:tc>
        <w:trPr>
          <w:tblHeader/>
        </w:trPr>
      </w:tr>
      <w:tr>
        <w:tc>
          <w:tcPr>
            <w:tcW w:type="dxa" w:w="1440"/>
            <w:vAlign w:val="top"/>
          </w:tcPr>
          <w:p>
            <w:pPr>
              <w:spacing w:after="0"/>
            </w:pPr>
            <w:r/>
            <w:r>
              <w:rPr>
                <w:b w:val="0"/>
              </w:rPr>
              <w:t>4</w:t>
            </w:r>
          </w:p>
        </w:tc>
        <w:tc>
          <w:tcPr>
            <w:tcW w:type="dxa" w:w="9504"/>
            <w:vAlign w:val="top"/>
          </w:tcPr>
          <w:p>
            <w:pPr>
              <w:spacing w:after="0"/>
            </w:pPr>
            <w:r/>
            <w:r>
              <w:rPr>
                <w:b w:val="0"/>
              </w:rPr>
              <w:t>Student works independently and safely, follows an approved plan, documents work, records evidence, and can explain the next step.</w:t>
            </w:r>
          </w:p>
        </w:tc>
      </w:tr>
      <w:tr>
        <w:tc>
          <w:tcPr>
            <w:tcW w:type="dxa" w:w="1440"/>
            <w:vAlign w:val="top"/>
          </w:tcPr>
          <w:p>
            <w:pPr>
              <w:spacing w:after="0"/>
            </w:pPr>
            <w:r/>
            <w:r>
              <w:rPr>
                <w:b w:val="0"/>
              </w:rPr>
              <w:t>3</w:t>
            </w:r>
          </w:p>
        </w:tc>
        <w:tc>
          <w:tcPr>
            <w:tcW w:type="dxa" w:w="9504"/>
            <w:vAlign w:val="top"/>
          </w:tcPr>
          <w:p>
            <w:pPr>
              <w:spacing w:after="0"/>
            </w:pPr>
            <w:r/>
            <w:r>
              <w:rPr>
                <w:b w:val="0"/>
              </w:rPr>
              <w:t>Student works productively with minor teacher prompting and maintains adequate documentation.</w:t>
            </w:r>
          </w:p>
        </w:tc>
      </w:tr>
      <w:tr>
        <w:tc>
          <w:tcPr>
            <w:tcW w:type="dxa" w:w="1440"/>
            <w:vAlign w:val="top"/>
          </w:tcPr>
          <w:p>
            <w:pPr>
              <w:spacing w:after="0"/>
            </w:pPr>
            <w:r/>
            <w:r>
              <w:rPr>
                <w:b w:val="0"/>
              </w:rPr>
              <w:t>2</w:t>
            </w:r>
          </w:p>
        </w:tc>
        <w:tc>
          <w:tcPr>
            <w:tcW w:type="dxa" w:w="9504"/>
            <w:vAlign w:val="top"/>
          </w:tcPr>
          <w:p>
            <w:pPr>
              <w:spacing w:after="0"/>
            </w:pPr>
            <w:r/>
            <w:r>
              <w:rPr>
                <w:b w:val="0"/>
              </w:rPr>
              <w:t>Student is partially productive but needs repeated prompting, documentation is weak, or the next step is unclear.</w:t>
            </w:r>
          </w:p>
        </w:tc>
      </w:tr>
      <w:tr>
        <w:tc>
          <w:tcPr>
            <w:tcW w:type="dxa" w:w="1440"/>
            <w:vAlign w:val="top"/>
          </w:tcPr>
          <w:p>
            <w:pPr>
              <w:spacing w:after="0"/>
            </w:pPr>
            <w:r/>
            <w:r>
              <w:rPr>
                <w:b w:val="0"/>
              </w:rPr>
              <w:t>1</w:t>
            </w:r>
          </w:p>
        </w:tc>
        <w:tc>
          <w:tcPr>
            <w:tcW w:type="dxa" w:w="9504"/>
            <w:vAlign w:val="top"/>
          </w:tcPr>
          <w:p>
            <w:pPr>
              <w:spacing w:after="0"/>
            </w:pPr>
            <w:r/>
            <w:r>
              <w:rPr>
                <w:b w:val="0"/>
              </w:rPr>
              <w:t>Student is off task, unsafe, undocumented, or unable to explain what they are doing.</w:t>
            </w:r>
          </w:p>
        </w:tc>
      </w:tr>
      <w:tr>
        <w:tc>
          <w:tcPr>
            <w:tcW w:type="dxa" w:w="1440"/>
            <w:vAlign w:val="top"/>
          </w:tcPr>
          <w:p>
            <w:pPr>
              <w:spacing w:after="0"/>
            </w:pPr>
            <w:r/>
            <w:r>
              <w:rPr>
                <w:b w:val="0"/>
              </w:rPr>
              <w:t>0</w:t>
            </w:r>
          </w:p>
        </w:tc>
        <w:tc>
          <w:tcPr>
            <w:tcW w:type="dxa" w:w="9504"/>
            <w:vAlign w:val="top"/>
          </w:tcPr>
          <w:p>
            <w:pPr>
              <w:spacing w:after="0"/>
            </w:pPr>
            <w:r/>
            <w:r>
              <w:rPr>
                <w:b w:val="0"/>
              </w:rPr>
              <w:t>Student does not participate or refuses required safety/documentation expectations.</w:t>
            </w:r>
          </w:p>
        </w:tc>
      </w:tr>
    </w:tbl>
    <w:p>
      <w:pPr>
        <w:spacing w:after="120"/>
      </w:pPr>
    </w:p>
    <w:p>
      <w:pPr>
        <w:pStyle w:val="Heading2"/>
        <w:spacing w:before="200" w:after="80"/>
      </w:pPr>
      <w:r>
        <w:t>Conference note template</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112"/>
        <w:gridCol w:w="5112"/>
      </w:tblGrid>
      <w:tr>
        <w:tc>
          <w:tcPr>
            <w:tcW w:type="dxa" w:w="3600"/>
            <w:shd w:fill="C00000"/>
          </w:tcPr>
          <w:p>
            <w:pPr>
              <w:spacing w:after="0"/>
            </w:pPr>
            <w:r/>
            <w:r>
              <w:rPr>
                <w:b/>
                <w:color w:val="FFFFFF"/>
              </w:rPr>
              <w:t>Conference Item</w:t>
            </w:r>
          </w:p>
        </w:tc>
        <w:tc>
          <w:tcPr>
            <w:tcW w:type="dxa" w:w="7344"/>
            <w:shd w:fill="C00000"/>
          </w:tcPr>
          <w:p>
            <w:pPr>
              <w:spacing w:after="0"/>
            </w:pPr>
            <w:r/>
            <w:r>
              <w:rPr>
                <w:b/>
                <w:color w:val="FFFFFF"/>
              </w:rPr>
              <w:t>Notes</w:t>
            </w:r>
          </w:p>
        </w:tc>
        <w:trPr>
          <w:tblHeader/>
        </w:trPr>
      </w:tr>
      <w:tr>
        <w:tc>
          <w:tcPr>
            <w:tcW w:type="dxa" w:w="3600"/>
            <w:vAlign w:val="top"/>
          </w:tcPr>
          <w:p>
            <w:pPr>
              <w:spacing w:after="0"/>
            </w:pPr>
            <w:r/>
            <w:r>
              <w:rPr>
                <w:b w:val="0"/>
              </w:rPr>
              <w:t>Current project status</w:t>
            </w:r>
          </w:p>
        </w:tc>
        <w:tc>
          <w:tcPr>
            <w:tcW w:type="dxa" w:w="7344"/>
            <w:vAlign w:val="top"/>
          </w:tcPr>
          <w:p>
            <w:pPr>
              <w:spacing w:after="0"/>
            </w:pPr>
            <w:r/>
            <w:r>
              <w:rPr>
                <w:b w:val="0"/>
              </w:rPr>
            </w:r>
          </w:p>
        </w:tc>
      </w:tr>
      <w:tr>
        <w:tc>
          <w:tcPr>
            <w:tcW w:type="dxa" w:w="3600"/>
            <w:vAlign w:val="top"/>
          </w:tcPr>
          <w:p>
            <w:pPr>
              <w:spacing w:after="0"/>
            </w:pPr>
            <w:r/>
            <w:r>
              <w:rPr>
                <w:b w:val="0"/>
              </w:rPr>
              <w:t>Evidence reviewed</w:t>
            </w:r>
          </w:p>
        </w:tc>
        <w:tc>
          <w:tcPr>
            <w:tcW w:type="dxa" w:w="7344"/>
            <w:vAlign w:val="top"/>
          </w:tcPr>
          <w:p>
            <w:pPr>
              <w:spacing w:after="0"/>
            </w:pPr>
            <w:r/>
            <w:r>
              <w:rPr>
                <w:b w:val="0"/>
              </w:rPr>
            </w:r>
          </w:p>
        </w:tc>
      </w:tr>
      <w:tr>
        <w:tc>
          <w:tcPr>
            <w:tcW w:type="dxa" w:w="3600"/>
            <w:vAlign w:val="top"/>
          </w:tcPr>
          <w:p>
            <w:pPr>
              <w:spacing w:after="0"/>
            </w:pPr>
            <w:r/>
            <w:r>
              <w:rPr>
                <w:b w:val="0"/>
              </w:rPr>
              <w:t>Main concern or bottleneck</w:t>
            </w:r>
          </w:p>
        </w:tc>
        <w:tc>
          <w:tcPr>
            <w:tcW w:type="dxa" w:w="7344"/>
            <w:vAlign w:val="top"/>
          </w:tcPr>
          <w:p>
            <w:pPr>
              <w:spacing w:after="0"/>
            </w:pPr>
            <w:r/>
            <w:r>
              <w:rPr>
                <w:b w:val="0"/>
              </w:rPr>
            </w:r>
          </w:p>
        </w:tc>
      </w:tr>
      <w:tr>
        <w:tc>
          <w:tcPr>
            <w:tcW w:type="dxa" w:w="3600"/>
            <w:vAlign w:val="top"/>
          </w:tcPr>
          <w:p>
            <w:pPr>
              <w:spacing w:after="0"/>
            </w:pPr>
            <w:r/>
            <w:r>
              <w:rPr>
                <w:b w:val="0"/>
              </w:rPr>
              <w:t>Teacher feedback</w:t>
            </w:r>
          </w:p>
        </w:tc>
        <w:tc>
          <w:tcPr>
            <w:tcW w:type="dxa" w:w="7344"/>
            <w:vAlign w:val="top"/>
          </w:tcPr>
          <w:p>
            <w:pPr>
              <w:spacing w:after="0"/>
            </w:pPr>
            <w:r/>
            <w:r>
              <w:rPr>
                <w:b w:val="0"/>
              </w:rPr>
            </w:r>
          </w:p>
        </w:tc>
      </w:tr>
      <w:tr>
        <w:tc>
          <w:tcPr>
            <w:tcW w:type="dxa" w:w="3600"/>
            <w:vAlign w:val="top"/>
          </w:tcPr>
          <w:p>
            <w:pPr>
              <w:spacing w:after="0"/>
            </w:pPr>
            <w:r/>
            <w:r>
              <w:rPr>
                <w:b w:val="0"/>
              </w:rPr>
              <w:t>Required next step</w:t>
            </w:r>
          </w:p>
        </w:tc>
        <w:tc>
          <w:tcPr>
            <w:tcW w:type="dxa" w:w="7344"/>
            <w:vAlign w:val="top"/>
          </w:tcPr>
          <w:p>
            <w:pPr>
              <w:spacing w:after="0"/>
            </w:pPr>
            <w:r/>
            <w:r>
              <w:rPr>
                <w:b w:val="0"/>
              </w:rPr>
            </w:r>
          </w:p>
        </w:tc>
      </w:tr>
      <w:tr>
        <w:tc>
          <w:tcPr>
            <w:tcW w:type="dxa" w:w="3600"/>
            <w:vAlign w:val="top"/>
          </w:tcPr>
          <w:p>
            <w:pPr>
              <w:spacing w:after="0"/>
            </w:pPr>
            <w:r/>
            <w:r>
              <w:rPr>
                <w:b w:val="0"/>
              </w:rPr>
              <w:t>Approval status, if relevant</w:t>
            </w:r>
          </w:p>
        </w:tc>
        <w:tc>
          <w:tcPr>
            <w:tcW w:type="dxa" w:w="7344"/>
            <w:vAlign w:val="top"/>
          </w:tcPr>
          <w:p>
            <w:pPr>
              <w:spacing w:after="0"/>
            </w:pPr>
            <w:r/>
            <w:r>
              <w:rPr>
                <w:b w:val="0"/>
              </w:rPr>
            </w:r>
          </w:p>
        </w:tc>
      </w:tr>
      <w:tr>
        <w:tc>
          <w:tcPr>
            <w:tcW w:type="dxa" w:w="3600"/>
            <w:vAlign w:val="top"/>
          </w:tcPr>
          <w:p>
            <w:pPr>
              <w:spacing w:after="0"/>
            </w:pPr>
            <w:r/>
            <w:r>
              <w:rPr>
                <w:b w:val="0"/>
              </w:rPr>
              <w:t>Follow-up date</w:t>
            </w:r>
          </w:p>
        </w:tc>
        <w:tc>
          <w:tcPr>
            <w:tcW w:type="dxa" w:w="7344"/>
            <w:vAlign w:val="top"/>
          </w:tcPr>
          <w:p>
            <w:pPr>
              <w:spacing w:after="0"/>
            </w:pPr>
            <w:r/>
            <w:r>
              <w:rPr>
                <w:b w:val="0"/>
              </w:rPr>
            </w:r>
          </w:p>
        </w:tc>
      </w:tr>
    </w:tbl>
    <w:p>
      <w:pPr>
        <w:spacing w:after="120"/>
      </w:pPr>
    </w:p>
    <w:p>
      <w:pPr>
        <w:pStyle w:val="Heading1"/>
        <w:spacing w:before="200" w:after="80"/>
      </w:pPr>
      <w:r>
        <w:t>8. Assessing Failed, Incomplete, or Pivoted Projects</w:t>
      </w:r>
    </w:p>
    <w:p>
      <w:pPr>
        <w:spacing w:after="120"/>
      </w:pPr>
      <w:r>
        <w:t>A STARLAB project should not receive a poor grade simply because the result was unexpected, the prototype failed, or the data did not support the hypothesis. The question is whether the student responded like a responsible researcher.</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2448"/>
            <w:shd w:fill="C00000"/>
          </w:tcPr>
          <w:p>
            <w:pPr>
              <w:spacing w:after="0"/>
            </w:pPr>
            <w:r/>
            <w:r>
              <w:rPr>
                <w:b/>
                <w:color w:val="FFFFFF"/>
              </w:rPr>
              <w:t>Situation</w:t>
            </w:r>
          </w:p>
        </w:tc>
        <w:tc>
          <w:tcPr>
            <w:tcW w:type="dxa" w:w="4608"/>
            <w:shd w:fill="C00000"/>
          </w:tcPr>
          <w:p>
            <w:pPr>
              <w:spacing w:after="0"/>
            </w:pPr>
            <w:r/>
            <w:r>
              <w:rPr>
                <w:b/>
                <w:color w:val="FFFFFF"/>
              </w:rPr>
              <w:t>What to Look For</w:t>
            </w:r>
          </w:p>
        </w:tc>
        <w:tc>
          <w:tcPr>
            <w:tcW w:type="dxa" w:w="4176"/>
            <w:shd w:fill="C00000"/>
          </w:tcPr>
          <w:p>
            <w:pPr>
              <w:spacing w:after="0"/>
            </w:pPr>
            <w:r/>
            <w:r>
              <w:rPr>
                <w:b/>
                <w:color w:val="FFFFFF"/>
              </w:rPr>
              <w:t>How to Grade Fairly</w:t>
            </w:r>
          </w:p>
        </w:tc>
        <w:trPr>
          <w:tblHeader/>
        </w:trPr>
      </w:tr>
      <w:tr>
        <w:tc>
          <w:tcPr>
            <w:tcW w:type="dxa" w:w="2448"/>
            <w:vAlign w:val="top"/>
          </w:tcPr>
          <w:p>
            <w:pPr>
              <w:spacing w:after="0"/>
            </w:pPr>
            <w:r/>
            <w:r>
              <w:rPr>
                <w:b w:val="0"/>
              </w:rPr>
              <w:t>Hypothesis not supported</w:t>
            </w:r>
          </w:p>
        </w:tc>
        <w:tc>
          <w:tcPr>
            <w:tcW w:type="dxa" w:w="4608"/>
            <w:vAlign w:val="top"/>
          </w:tcPr>
          <w:p>
            <w:pPr>
              <w:spacing w:after="0"/>
            </w:pPr>
            <w:r/>
            <w:r>
              <w:rPr>
                <w:b w:val="0"/>
              </w:rPr>
              <w:t>Honest data, appropriate analysis, clear discussion of why results may differ from prediction.</w:t>
            </w:r>
          </w:p>
        </w:tc>
        <w:tc>
          <w:tcPr>
            <w:tcW w:type="dxa" w:w="4176"/>
            <w:vAlign w:val="top"/>
          </w:tcPr>
          <w:p>
            <w:pPr>
              <w:spacing w:after="0"/>
            </w:pPr>
            <w:r/>
            <w:r>
              <w:rPr>
                <w:b w:val="0"/>
              </w:rPr>
              <w:t>Can still earn high marks if evidence and interpretation are strong.</w:t>
            </w:r>
          </w:p>
        </w:tc>
      </w:tr>
      <w:tr>
        <w:tc>
          <w:tcPr>
            <w:tcW w:type="dxa" w:w="2448"/>
            <w:vAlign w:val="top"/>
          </w:tcPr>
          <w:p>
            <w:pPr>
              <w:spacing w:after="0"/>
            </w:pPr>
            <w:r/>
            <w:r>
              <w:rPr>
                <w:b w:val="0"/>
              </w:rPr>
              <w:t>Prototype fails</w:t>
            </w:r>
          </w:p>
        </w:tc>
        <w:tc>
          <w:tcPr>
            <w:tcW w:type="dxa" w:w="4608"/>
            <w:vAlign w:val="top"/>
          </w:tcPr>
          <w:p>
            <w:pPr>
              <w:spacing w:after="0"/>
            </w:pPr>
            <w:r/>
            <w:r>
              <w:rPr>
                <w:b w:val="0"/>
              </w:rPr>
              <w:t>Failure mode documented, redesign reasoning, performance evidence, safety maintained.</w:t>
            </w:r>
          </w:p>
        </w:tc>
        <w:tc>
          <w:tcPr>
            <w:tcW w:type="dxa" w:w="4176"/>
            <w:vAlign w:val="top"/>
          </w:tcPr>
          <w:p>
            <w:pPr>
              <w:spacing w:after="0"/>
            </w:pPr>
            <w:r/>
            <w:r>
              <w:rPr>
                <w:b w:val="0"/>
              </w:rPr>
              <w:t>Grade the engineering thinking, evidence, and revision process.</w:t>
            </w:r>
          </w:p>
        </w:tc>
      </w:tr>
      <w:tr>
        <w:tc>
          <w:tcPr>
            <w:tcW w:type="dxa" w:w="2448"/>
            <w:vAlign w:val="top"/>
          </w:tcPr>
          <w:p>
            <w:pPr>
              <w:spacing w:after="0"/>
            </w:pPr>
            <w:r/>
            <w:r>
              <w:rPr>
                <w:b w:val="0"/>
              </w:rPr>
              <w:t>Insufficient data</w:t>
            </w:r>
          </w:p>
        </w:tc>
        <w:tc>
          <w:tcPr>
            <w:tcW w:type="dxa" w:w="4608"/>
            <w:vAlign w:val="top"/>
          </w:tcPr>
          <w:p>
            <w:pPr>
              <w:spacing w:after="0"/>
            </w:pPr>
            <w:r/>
            <w:r>
              <w:rPr>
                <w:b w:val="0"/>
              </w:rPr>
              <w:t>Documentation of why data are limited, recovery plan, honest limitation language.</w:t>
            </w:r>
          </w:p>
        </w:tc>
        <w:tc>
          <w:tcPr>
            <w:tcW w:type="dxa" w:w="4176"/>
            <w:vAlign w:val="top"/>
          </w:tcPr>
          <w:p>
            <w:pPr>
              <w:spacing w:after="0"/>
            </w:pPr>
            <w:r/>
            <w:r>
              <w:rPr>
                <w:b w:val="0"/>
              </w:rPr>
              <w:t>Do not award full data collection credit, but reward integrity and valid analysis of available evidence.</w:t>
            </w:r>
          </w:p>
        </w:tc>
      </w:tr>
      <w:tr>
        <w:tc>
          <w:tcPr>
            <w:tcW w:type="dxa" w:w="2448"/>
            <w:vAlign w:val="top"/>
          </w:tcPr>
          <w:p>
            <w:pPr>
              <w:spacing w:after="0"/>
            </w:pPr>
            <w:r/>
            <w:r>
              <w:rPr>
                <w:b w:val="0"/>
              </w:rPr>
              <w:t>Project pivot</w:t>
            </w:r>
          </w:p>
        </w:tc>
        <w:tc>
          <w:tcPr>
            <w:tcW w:type="dxa" w:w="4608"/>
            <w:vAlign w:val="top"/>
          </w:tcPr>
          <w:p>
            <w:pPr>
              <w:spacing w:after="0"/>
            </w:pPr>
            <w:r/>
            <w:r>
              <w:rPr>
                <w:b w:val="0"/>
              </w:rPr>
              <w:t>Evidence-based reason, teacher approval, revised question/method/data plan, journal documentation.</w:t>
            </w:r>
          </w:p>
        </w:tc>
        <w:tc>
          <w:tcPr>
            <w:tcW w:type="dxa" w:w="4176"/>
            <w:vAlign w:val="top"/>
          </w:tcPr>
          <w:p>
            <w:pPr>
              <w:spacing w:after="0"/>
            </w:pPr>
            <w:r/>
            <w:r>
              <w:rPr>
                <w:b w:val="0"/>
              </w:rPr>
              <w:t>Grade as strong if the pivot is responsible and documented.</w:t>
            </w:r>
          </w:p>
        </w:tc>
      </w:tr>
      <w:tr>
        <w:tc>
          <w:tcPr>
            <w:tcW w:type="dxa" w:w="2448"/>
            <w:vAlign w:val="top"/>
          </w:tcPr>
          <w:p>
            <w:pPr>
              <w:spacing w:after="0"/>
            </w:pPr>
            <w:r/>
            <w:r>
              <w:rPr>
                <w:b w:val="0"/>
              </w:rPr>
              <w:t>Unsafe or unapproved work</w:t>
            </w:r>
          </w:p>
        </w:tc>
        <w:tc>
          <w:tcPr>
            <w:tcW w:type="dxa" w:w="4608"/>
            <w:vAlign w:val="top"/>
          </w:tcPr>
          <w:p>
            <w:pPr>
              <w:spacing w:after="0"/>
            </w:pPr>
            <w:r/>
            <w:r>
              <w:rPr>
                <w:b w:val="0"/>
              </w:rPr>
              <w:t>Testing occurred without approval or ignored safety expectations.</w:t>
            </w:r>
          </w:p>
        </w:tc>
        <w:tc>
          <w:tcPr>
            <w:tcW w:type="dxa" w:w="4176"/>
            <w:vAlign w:val="top"/>
          </w:tcPr>
          <w:p>
            <w:pPr>
              <w:spacing w:after="0"/>
            </w:pPr>
            <w:r/>
            <w:r>
              <w:rPr>
                <w:b w:val="0"/>
              </w:rPr>
              <w:t>Do not reward unsafe data collection. Require revision, reflection, or alternate analysis.</w:t>
            </w:r>
          </w:p>
        </w:tc>
      </w:tr>
      <w:tr>
        <w:tc>
          <w:tcPr>
            <w:tcW w:type="dxa" w:w="2448"/>
            <w:vAlign w:val="top"/>
          </w:tcPr>
          <w:p>
            <w:pPr>
              <w:spacing w:after="0"/>
            </w:pPr>
            <w:r/>
            <w:r>
              <w:rPr>
                <w:b w:val="0"/>
              </w:rPr>
              <w:t>Incomplete final product</w:t>
            </w:r>
          </w:p>
        </w:tc>
        <w:tc>
          <w:tcPr>
            <w:tcW w:type="dxa" w:w="4608"/>
            <w:vAlign w:val="top"/>
          </w:tcPr>
          <w:p>
            <w:pPr>
              <w:spacing w:after="0"/>
            </w:pPr>
            <w:r/>
            <w:r>
              <w:rPr>
                <w:b w:val="0"/>
              </w:rPr>
              <w:t>Assess completed components separately and document missing evidence.</w:t>
            </w:r>
          </w:p>
        </w:tc>
        <w:tc>
          <w:tcPr>
            <w:tcW w:type="dxa" w:w="4176"/>
            <w:vAlign w:val="top"/>
          </w:tcPr>
          <w:p>
            <w:pPr>
              <w:spacing w:after="0"/>
            </w:pPr>
            <w:r/>
            <w:r>
              <w:rPr>
                <w:b w:val="0"/>
              </w:rPr>
              <w:t>Use rubrics; avoid guessing what the student might have done.</w:t>
            </w:r>
          </w:p>
        </w:tc>
      </w:tr>
    </w:tbl>
    <w:p>
      <w:pPr>
        <w:spacing w:after="120"/>
      </w:pP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224"/>
      </w:tblGrid>
      <w:tr>
        <w:tc>
          <w:tcPr>
            <w:tcW w:type="dxa" w:w="10224"/>
            <w:shd w:fill="F2F2F2"/>
          </w:tcPr>
          <w:p>
            <w:r>
              <w:rPr>
                <w:b/>
                <w:color w:val="C00000"/>
              </w:rPr>
              <w:t>Successful failure language</w:t>
            </w:r>
          </w:p>
          <w:p>
            <w:pPr>
              <w:spacing w:after="0"/>
            </w:pPr>
            <w:r>
              <w:t>A failed trial is not a failed project. A failed trial becomes scientifically valuable when the student documents what happened, explains why it matters, and uses evidence to decide the next step.</w:t>
            </w:r>
          </w:p>
        </w:tc>
        <w:trPr>
          <w:tblHeader/>
        </w:trPr>
      </w:tr>
    </w:tbl>
    <w:p>
      <w:pPr>
        <w:spacing w:after="120"/>
      </w:pPr>
    </w:p>
    <w:p>
      <w:pPr>
        <w:pStyle w:val="Heading1"/>
        <w:spacing w:before="200" w:after="80"/>
      </w:pPr>
      <w:r>
        <w:t>9. Feedback and Revision Cycles</w:t>
      </w:r>
    </w:p>
    <w:p>
      <w:pPr>
        <w:spacing w:after="120"/>
      </w:pPr>
      <w:r>
        <w:t>Revision should be built into the grading system. Students should not experience feedback as a penalty; they should experience it as part of scientific work.</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2592"/>
            <w:shd w:fill="C00000"/>
          </w:tcPr>
          <w:p>
            <w:pPr>
              <w:spacing w:after="0"/>
            </w:pPr>
            <w:r/>
            <w:r>
              <w:rPr>
                <w:b/>
                <w:color w:val="FFFFFF"/>
              </w:rPr>
              <w:t>Cycle</w:t>
            </w:r>
          </w:p>
        </w:tc>
        <w:tc>
          <w:tcPr>
            <w:tcW w:type="dxa" w:w="4320"/>
            <w:shd w:fill="C00000"/>
          </w:tcPr>
          <w:p>
            <w:pPr>
              <w:spacing w:after="0"/>
            </w:pPr>
            <w:r/>
            <w:r>
              <w:rPr>
                <w:b/>
                <w:color w:val="FFFFFF"/>
              </w:rPr>
              <w:t>Teacher Role</w:t>
            </w:r>
          </w:p>
        </w:tc>
        <w:tc>
          <w:tcPr>
            <w:tcW w:type="dxa" w:w="4320"/>
            <w:shd w:fill="C00000"/>
          </w:tcPr>
          <w:p>
            <w:pPr>
              <w:spacing w:after="0"/>
            </w:pPr>
            <w:r/>
            <w:r>
              <w:rPr>
                <w:b/>
                <w:color w:val="FFFFFF"/>
              </w:rPr>
              <w:t>Student Evidence</w:t>
            </w:r>
          </w:p>
        </w:tc>
        <w:trPr>
          <w:tblHeader/>
        </w:trPr>
      </w:tr>
      <w:tr>
        <w:tc>
          <w:tcPr>
            <w:tcW w:type="dxa" w:w="2592"/>
            <w:vAlign w:val="top"/>
          </w:tcPr>
          <w:p>
            <w:pPr>
              <w:spacing w:after="0"/>
            </w:pPr>
            <w:r/>
            <w:r>
              <w:rPr>
                <w:b w:val="0"/>
              </w:rPr>
              <w:t>Project idea revision</w:t>
            </w:r>
          </w:p>
        </w:tc>
        <w:tc>
          <w:tcPr>
            <w:tcW w:type="dxa" w:w="4320"/>
            <w:vAlign w:val="top"/>
          </w:tcPr>
          <w:p>
            <w:pPr>
              <w:spacing w:after="0"/>
            </w:pPr>
            <w:r/>
            <w:r>
              <w:rPr>
                <w:b w:val="0"/>
              </w:rPr>
              <w:t>Ask what can be measured, tested, compared, modeled, or improved.</w:t>
            </w:r>
          </w:p>
        </w:tc>
        <w:tc>
          <w:tcPr>
            <w:tcW w:type="dxa" w:w="4320"/>
            <w:vAlign w:val="top"/>
          </w:tcPr>
          <w:p>
            <w:pPr>
              <w:spacing w:after="0"/>
            </w:pPr>
            <w:r/>
            <w:r>
              <w:rPr>
                <w:b w:val="0"/>
              </w:rPr>
              <w:t>Revised research question or engineering problem.</w:t>
            </w:r>
          </w:p>
        </w:tc>
      </w:tr>
      <w:tr>
        <w:tc>
          <w:tcPr>
            <w:tcW w:type="dxa" w:w="2592"/>
            <w:vAlign w:val="top"/>
          </w:tcPr>
          <w:p>
            <w:pPr>
              <w:spacing w:after="0"/>
            </w:pPr>
            <w:r/>
            <w:r>
              <w:rPr>
                <w:b w:val="0"/>
              </w:rPr>
              <w:t>Research plan revision</w:t>
            </w:r>
          </w:p>
        </w:tc>
        <w:tc>
          <w:tcPr>
            <w:tcW w:type="dxa" w:w="4320"/>
            <w:vAlign w:val="top"/>
          </w:tcPr>
          <w:p>
            <w:pPr>
              <w:spacing w:after="0"/>
            </w:pPr>
            <w:r/>
            <w:r>
              <w:rPr>
                <w:b w:val="0"/>
              </w:rPr>
              <w:t>Check feasibility, safety, evidence plan, timeline, and approval needs.</w:t>
            </w:r>
          </w:p>
        </w:tc>
        <w:tc>
          <w:tcPr>
            <w:tcW w:type="dxa" w:w="4320"/>
            <w:vAlign w:val="top"/>
          </w:tcPr>
          <w:p>
            <w:pPr>
              <w:spacing w:after="0"/>
            </w:pPr>
            <w:r/>
            <w:r>
              <w:rPr>
                <w:b w:val="0"/>
              </w:rPr>
              <w:t>Formal research plan and conference form.</w:t>
            </w:r>
          </w:p>
        </w:tc>
      </w:tr>
      <w:tr>
        <w:tc>
          <w:tcPr>
            <w:tcW w:type="dxa" w:w="2592"/>
            <w:vAlign w:val="top"/>
          </w:tcPr>
          <w:p>
            <w:pPr>
              <w:spacing w:after="0"/>
            </w:pPr>
            <w:r/>
            <w:r>
              <w:rPr>
                <w:b w:val="0"/>
              </w:rPr>
              <w:t>Method revision</w:t>
            </w:r>
          </w:p>
        </w:tc>
        <w:tc>
          <w:tcPr>
            <w:tcW w:type="dxa" w:w="4320"/>
            <w:vAlign w:val="top"/>
          </w:tcPr>
          <w:p>
            <w:pPr>
              <w:spacing w:after="0"/>
            </w:pPr>
            <w:r/>
            <w:r>
              <w:rPr>
                <w:b w:val="0"/>
              </w:rPr>
              <w:t>Review pilot evidence before approving changes.</w:t>
            </w:r>
          </w:p>
        </w:tc>
        <w:tc>
          <w:tcPr>
            <w:tcW w:type="dxa" w:w="4320"/>
            <w:vAlign w:val="top"/>
          </w:tcPr>
          <w:p>
            <w:pPr>
              <w:spacing w:after="0"/>
            </w:pPr>
            <w:r/>
            <w:r>
              <w:rPr>
                <w:b w:val="0"/>
              </w:rPr>
              <w:t>Revised procedure and troubleshooting log.</w:t>
            </w:r>
          </w:p>
        </w:tc>
      </w:tr>
      <w:tr>
        <w:tc>
          <w:tcPr>
            <w:tcW w:type="dxa" w:w="2592"/>
            <w:vAlign w:val="top"/>
          </w:tcPr>
          <w:p>
            <w:pPr>
              <w:spacing w:after="0"/>
            </w:pPr>
            <w:r/>
            <w:r>
              <w:rPr>
                <w:b w:val="0"/>
              </w:rPr>
              <w:t>Data revision</w:t>
            </w:r>
          </w:p>
        </w:tc>
        <w:tc>
          <w:tcPr>
            <w:tcW w:type="dxa" w:w="4320"/>
            <w:vAlign w:val="top"/>
          </w:tcPr>
          <w:p>
            <w:pPr>
              <w:spacing w:after="0"/>
            </w:pPr>
            <w:r/>
            <w:r>
              <w:rPr>
                <w:b w:val="0"/>
              </w:rPr>
              <w:t>Require raw data preservation and documented cleaning decisions.</w:t>
            </w:r>
          </w:p>
        </w:tc>
        <w:tc>
          <w:tcPr>
            <w:tcW w:type="dxa" w:w="4320"/>
            <w:vAlign w:val="top"/>
          </w:tcPr>
          <w:p>
            <w:pPr>
              <w:spacing w:after="0"/>
            </w:pPr>
            <w:r/>
            <w:r>
              <w:rPr>
                <w:b w:val="0"/>
              </w:rPr>
              <w:t>Clean data set and decision log.</w:t>
            </w:r>
          </w:p>
        </w:tc>
      </w:tr>
      <w:tr>
        <w:tc>
          <w:tcPr>
            <w:tcW w:type="dxa" w:w="2592"/>
            <w:vAlign w:val="top"/>
          </w:tcPr>
          <w:p>
            <w:pPr>
              <w:spacing w:after="0"/>
            </w:pPr>
            <w:r/>
            <w:r>
              <w:rPr>
                <w:b w:val="0"/>
              </w:rPr>
              <w:t>Report revision</w:t>
            </w:r>
          </w:p>
        </w:tc>
        <w:tc>
          <w:tcPr>
            <w:tcW w:type="dxa" w:w="4320"/>
            <w:vAlign w:val="top"/>
          </w:tcPr>
          <w:p>
            <w:pPr>
              <w:spacing w:after="0"/>
            </w:pPr>
            <w:r/>
            <w:r>
              <w:rPr>
                <w:b w:val="0"/>
              </w:rPr>
              <w:t>Use peer/teacher feedback to improve claims, evidence, methods, figures, and limitations.</w:t>
            </w:r>
          </w:p>
        </w:tc>
        <w:tc>
          <w:tcPr>
            <w:tcW w:type="dxa" w:w="4320"/>
            <w:vAlign w:val="top"/>
          </w:tcPr>
          <w:p>
            <w:pPr>
              <w:spacing w:after="0"/>
            </w:pPr>
            <w:r/>
            <w:r>
              <w:rPr>
                <w:b w:val="0"/>
              </w:rPr>
              <w:t>Revision plan and Draft 2.</w:t>
            </w:r>
          </w:p>
        </w:tc>
      </w:tr>
      <w:tr>
        <w:tc>
          <w:tcPr>
            <w:tcW w:type="dxa" w:w="2592"/>
            <w:vAlign w:val="top"/>
          </w:tcPr>
          <w:p>
            <w:pPr>
              <w:spacing w:after="0"/>
            </w:pPr>
            <w:r/>
            <w:r>
              <w:rPr>
                <w:b w:val="0"/>
              </w:rPr>
              <w:t>Presentation revision</w:t>
            </w:r>
          </w:p>
        </w:tc>
        <w:tc>
          <w:tcPr>
            <w:tcW w:type="dxa" w:w="4320"/>
            <w:vAlign w:val="top"/>
          </w:tcPr>
          <w:p>
            <w:pPr>
              <w:spacing w:after="0"/>
            </w:pPr>
            <w:r/>
            <w:r>
              <w:rPr>
                <w:b w:val="0"/>
              </w:rPr>
              <w:t>Use practice feedback to improve clarity, pacing, visual use, and Q&amp;A.</w:t>
            </w:r>
          </w:p>
        </w:tc>
        <w:tc>
          <w:tcPr>
            <w:tcW w:type="dxa" w:w="4320"/>
            <w:vAlign w:val="top"/>
          </w:tcPr>
          <w:p>
            <w:pPr>
              <w:spacing w:after="0"/>
            </w:pPr>
            <w:r/>
            <w:r>
              <w:rPr>
                <w:b w:val="0"/>
              </w:rPr>
              <w:t>Presentation revision log and feedback forms.</w:t>
            </w:r>
          </w:p>
        </w:tc>
      </w:tr>
    </w:tbl>
    <w:p>
      <w:pPr>
        <w:spacing w:after="120"/>
      </w:pPr>
    </w:p>
    <w:p>
      <w:pPr>
        <w:pStyle w:val="Heading1"/>
        <w:spacing w:before="200" w:after="80"/>
      </w:pPr>
      <w:r>
        <w:t>10. Academic Integrity, AI Use, and Source Credit</w:t>
      </w:r>
    </w:p>
    <w:p>
      <w:pPr>
        <w:spacing w:after="120"/>
      </w:pPr>
      <w:r>
        <w:t>STARLAB students may use many sources of help: teachers, peers, mentors, online references, technical manuals, datasets, and AI tools. The assessment system should require transparency about outside assistance.</w:t>
      </w:r>
    </w:p>
    <w:p>
      <w:pPr>
        <w:pStyle w:val="Heading2"/>
        <w:spacing w:before="200" w:after="80"/>
      </w:pPr>
      <w:r>
        <w:t>Assessable integrity expectations</w:t>
      </w:r>
    </w:p>
    <w:p>
      <w:pPr>
        <w:pStyle w:val="ListBullet"/>
      </w:pPr>
      <w:r>
        <w:t>Students credit sources, datasets, images, code, templates, and mentor contributions.</w:t>
      </w:r>
    </w:p>
    <w:p>
      <w:pPr>
        <w:pStyle w:val="ListBullet"/>
      </w:pPr>
      <w:r>
        <w:t>Students do not fabricate, alter, or selectively hide data.</w:t>
      </w:r>
    </w:p>
    <w:p>
      <w:pPr>
        <w:pStyle w:val="ListBullet"/>
      </w:pPr>
      <w:r>
        <w:t>Students preserve raw data and document cleaning decisions.</w:t>
      </w:r>
    </w:p>
    <w:p>
      <w:pPr>
        <w:pStyle w:val="ListBullet"/>
      </w:pPr>
      <w:r>
        <w:t>Students disclose AI assistance when required by local policy.</w:t>
      </w:r>
    </w:p>
    <w:p>
      <w:pPr>
        <w:pStyle w:val="ListBullet"/>
      </w:pPr>
      <w:r>
        <w:t>Students can explain any writing, code, analysis, or design decision submitted as their own work.</w:t>
      </w:r>
    </w:p>
    <w:p>
      <w:pPr>
        <w:pStyle w:val="Heading2"/>
        <w:spacing w:before="200" w:after="80"/>
      </w:pPr>
      <w:r>
        <w:t>Suggested AI disclosure options</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112"/>
        <w:gridCol w:w="5112"/>
      </w:tblGrid>
      <w:tr>
        <w:tc>
          <w:tcPr>
            <w:tcW w:type="dxa" w:w="2880"/>
            <w:shd w:fill="C00000"/>
          </w:tcPr>
          <w:p>
            <w:pPr>
              <w:spacing w:after="0"/>
            </w:pPr>
            <w:r/>
            <w:r>
              <w:rPr>
                <w:b/>
                <w:color w:val="FFFFFF"/>
              </w:rPr>
              <w:t>Use Case</w:t>
            </w:r>
          </w:p>
        </w:tc>
        <w:tc>
          <w:tcPr>
            <w:tcW w:type="dxa" w:w="8208"/>
            <w:shd w:fill="C00000"/>
          </w:tcPr>
          <w:p>
            <w:pPr>
              <w:spacing w:after="0"/>
            </w:pPr>
            <w:r/>
            <w:r>
              <w:rPr>
                <w:b/>
                <w:color w:val="FFFFFF"/>
              </w:rPr>
              <w:t>Acceptable Disclosure Example</w:t>
            </w:r>
          </w:p>
        </w:tc>
        <w:trPr>
          <w:tblHeader/>
        </w:trPr>
      </w:tr>
      <w:tr>
        <w:tc>
          <w:tcPr>
            <w:tcW w:type="dxa" w:w="2880"/>
            <w:vAlign w:val="top"/>
          </w:tcPr>
          <w:p>
            <w:pPr>
              <w:spacing w:after="0"/>
            </w:pPr>
            <w:r/>
            <w:r>
              <w:rPr>
                <w:b w:val="0"/>
              </w:rPr>
              <w:t>Brainstorming</w:t>
            </w:r>
          </w:p>
        </w:tc>
        <w:tc>
          <w:tcPr>
            <w:tcW w:type="dxa" w:w="8208"/>
            <w:vAlign w:val="top"/>
          </w:tcPr>
          <w:p>
            <w:pPr>
              <w:spacing w:after="0"/>
            </w:pPr>
            <w:r/>
            <w:r>
              <w:rPr>
                <w:b w:val="0"/>
              </w:rPr>
              <w:t>I used AI to brainstorm possible graph types, then chose the graph that matched my data.</w:t>
            </w:r>
          </w:p>
        </w:tc>
      </w:tr>
      <w:tr>
        <w:tc>
          <w:tcPr>
            <w:tcW w:type="dxa" w:w="2880"/>
            <w:vAlign w:val="top"/>
          </w:tcPr>
          <w:p>
            <w:pPr>
              <w:spacing w:after="0"/>
            </w:pPr>
            <w:r/>
            <w:r>
              <w:rPr>
                <w:b w:val="0"/>
              </w:rPr>
              <w:t>Writing revision</w:t>
            </w:r>
          </w:p>
        </w:tc>
        <w:tc>
          <w:tcPr>
            <w:tcW w:type="dxa" w:w="8208"/>
            <w:vAlign w:val="top"/>
          </w:tcPr>
          <w:p>
            <w:pPr>
              <w:spacing w:after="0"/>
            </w:pPr>
            <w:r/>
            <w:r>
              <w:rPr>
                <w:b w:val="0"/>
              </w:rPr>
              <w:t>I used AI to suggest clearer wording for my discussion paragraph, but I verified the meaning and edited it myself.</w:t>
            </w:r>
          </w:p>
        </w:tc>
      </w:tr>
      <w:tr>
        <w:tc>
          <w:tcPr>
            <w:tcW w:type="dxa" w:w="2880"/>
            <w:vAlign w:val="top"/>
          </w:tcPr>
          <w:p>
            <w:pPr>
              <w:spacing w:after="0"/>
            </w:pPr>
            <w:r/>
            <w:r>
              <w:rPr>
                <w:b w:val="0"/>
              </w:rPr>
              <w:t>Code help</w:t>
            </w:r>
          </w:p>
        </w:tc>
        <w:tc>
          <w:tcPr>
            <w:tcW w:type="dxa" w:w="8208"/>
            <w:vAlign w:val="top"/>
          </w:tcPr>
          <w:p>
            <w:pPr>
              <w:spacing w:after="0"/>
            </w:pPr>
            <w:r/>
            <w:r>
              <w:rPr>
                <w:b w:val="0"/>
              </w:rPr>
              <w:t>I used AI to help debug code for reading sensor output. I tested the code and can explain how it works.</w:t>
            </w:r>
          </w:p>
        </w:tc>
      </w:tr>
      <w:tr>
        <w:tc>
          <w:tcPr>
            <w:tcW w:type="dxa" w:w="2880"/>
            <w:vAlign w:val="top"/>
          </w:tcPr>
          <w:p>
            <w:pPr>
              <w:spacing w:after="0"/>
            </w:pPr>
            <w:r/>
            <w:r>
              <w:rPr>
                <w:b w:val="0"/>
              </w:rPr>
              <w:t>Data analysis support</w:t>
            </w:r>
          </w:p>
        </w:tc>
        <w:tc>
          <w:tcPr>
            <w:tcW w:type="dxa" w:w="8208"/>
            <w:vAlign w:val="top"/>
          </w:tcPr>
          <w:p>
            <w:pPr>
              <w:spacing w:after="0"/>
            </w:pPr>
            <w:r/>
            <w:r>
              <w:rPr>
                <w:b w:val="0"/>
              </w:rPr>
              <w:t>I used AI to ask what calculations might fit my data. I completed and checked the calculations myself.</w:t>
            </w:r>
          </w:p>
        </w:tc>
      </w:tr>
      <w:tr>
        <w:tc>
          <w:tcPr>
            <w:tcW w:type="dxa" w:w="2880"/>
            <w:vAlign w:val="top"/>
          </w:tcPr>
          <w:p>
            <w:pPr>
              <w:spacing w:after="0"/>
            </w:pPr>
            <w:r/>
            <w:r>
              <w:rPr>
                <w:b w:val="0"/>
              </w:rPr>
              <w:t>Not acceptable</w:t>
            </w:r>
          </w:p>
        </w:tc>
        <w:tc>
          <w:tcPr>
            <w:tcW w:type="dxa" w:w="8208"/>
            <w:vAlign w:val="top"/>
          </w:tcPr>
          <w:p>
            <w:pPr>
              <w:spacing w:after="0"/>
            </w:pPr>
            <w:r/>
            <w:r>
              <w:rPr>
                <w:b w:val="0"/>
              </w:rPr>
              <w:t>I copied an AI-generated background section, source list, analysis, or conclusion that I did not verify or understand.</w:t>
            </w:r>
          </w:p>
        </w:tc>
      </w:tr>
    </w:tbl>
    <w:p>
      <w:pPr>
        <w:spacing w:after="120"/>
      </w:pPr>
    </w:p>
    <w:p>
      <w:pPr>
        <w:pStyle w:val="Heading1"/>
        <w:spacing w:before="200" w:after="80"/>
      </w:pPr>
      <w:r>
        <w:t>11. Differentiation and Accommodations</w:t>
      </w:r>
    </w:p>
    <w:p>
      <w:pPr>
        <w:spacing w:after="120"/>
      </w:pPr>
      <w:r>
        <w:t>Assessment should preserve core research expectations while allowing appropriate support. The goal is not identical output; the goal is authentic evidence of scientific thinking.</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2592"/>
            <w:shd w:fill="C00000"/>
          </w:tcPr>
          <w:p>
            <w:pPr>
              <w:spacing w:after="0"/>
            </w:pPr>
            <w:r/>
            <w:r>
              <w:rPr>
                <w:b/>
                <w:color w:val="FFFFFF"/>
              </w:rPr>
              <w:t>Student Need</w:t>
            </w:r>
          </w:p>
        </w:tc>
        <w:tc>
          <w:tcPr>
            <w:tcW w:type="dxa" w:w="4320"/>
            <w:shd w:fill="C00000"/>
          </w:tcPr>
          <w:p>
            <w:pPr>
              <w:spacing w:after="0"/>
            </w:pPr>
            <w:r/>
            <w:r>
              <w:rPr>
                <w:b/>
                <w:color w:val="FFFFFF"/>
              </w:rPr>
              <w:t>Possible Support</w:t>
            </w:r>
          </w:p>
        </w:tc>
        <w:tc>
          <w:tcPr>
            <w:tcW w:type="dxa" w:w="4320"/>
            <w:shd w:fill="C00000"/>
          </w:tcPr>
          <w:p>
            <w:pPr>
              <w:spacing w:after="0"/>
            </w:pPr>
            <w:r/>
            <w:r>
              <w:rPr>
                <w:b/>
                <w:color w:val="FFFFFF"/>
              </w:rPr>
              <w:t>Core Expectation Preserved</w:t>
            </w:r>
          </w:p>
        </w:tc>
        <w:trPr>
          <w:tblHeader/>
        </w:trPr>
      </w:tr>
      <w:tr>
        <w:tc>
          <w:tcPr>
            <w:tcW w:type="dxa" w:w="2592"/>
            <w:vAlign w:val="top"/>
          </w:tcPr>
          <w:p>
            <w:pPr>
              <w:spacing w:after="0"/>
            </w:pPr>
            <w:r/>
            <w:r>
              <w:rPr>
                <w:b w:val="0"/>
              </w:rPr>
              <w:t>Writing support</w:t>
            </w:r>
          </w:p>
        </w:tc>
        <w:tc>
          <w:tcPr>
            <w:tcW w:type="dxa" w:w="4320"/>
            <w:vAlign w:val="top"/>
          </w:tcPr>
          <w:p>
            <w:pPr>
              <w:spacing w:after="0"/>
            </w:pPr>
            <w:r/>
            <w:r>
              <w:rPr>
                <w:b w:val="0"/>
              </w:rPr>
              <w:t>Sentence frames, section templates, voice-to-text, writing conferences.</w:t>
            </w:r>
          </w:p>
        </w:tc>
        <w:tc>
          <w:tcPr>
            <w:tcW w:type="dxa" w:w="4320"/>
            <w:vAlign w:val="top"/>
          </w:tcPr>
          <w:p>
            <w:pPr>
              <w:spacing w:after="0"/>
            </w:pPr>
            <w:r/>
            <w:r>
              <w:rPr>
                <w:b w:val="0"/>
              </w:rPr>
              <w:t>Student communicates purpose, method, evidence, interpretation, and limitations.</w:t>
            </w:r>
          </w:p>
        </w:tc>
      </w:tr>
      <w:tr>
        <w:tc>
          <w:tcPr>
            <w:tcW w:type="dxa" w:w="2592"/>
            <w:vAlign w:val="top"/>
          </w:tcPr>
          <w:p>
            <w:pPr>
              <w:spacing w:after="0"/>
            </w:pPr>
            <w:r/>
            <w:r>
              <w:rPr>
                <w:b w:val="0"/>
              </w:rPr>
              <w:t>Executive function support</w:t>
            </w:r>
          </w:p>
        </w:tc>
        <w:tc>
          <w:tcPr>
            <w:tcW w:type="dxa" w:w="4320"/>
            <w:vAlign w:val="top"/>
          </w:tcPr>
          <w:p>
            <w:pPr>
              <w:spacing w:after="0"/>
            </w:pPr>
            <w:r/>
            <w:r>
              <w:rPr>
                <w:b w:val="0"/>
              </w:rPr>
              <w:t>Weekly checklists, project tracker, short deadlines, conference notes.</w:t>
            </w:r>
          </w:p>
        </w:tc>
        <w:tc>
          <w:tcPr>
            <w:tcW w:type="dxa" w:w="4320"/>
            <w:vAlign w:val="top"/>
          </w:tcPr>
          <w:p>
            <w:pPr>
              <w:spacing w:after="0"/>
            </w:pPr>
            <w:r/>
            <w:r>
              <w:rPr>
                <w:b w:val="0"/>
              </w:rPr>
              <w:t>Student maintains documented progress.</w:t>
            </w:r>
          </w:p>
        </w:tc>
      </w:tr>
      <w:tr>
        <w:tc>
          <w:tcPr>
            <w:tcW w:type="dxa" w:w="2592"/>
            <w:vAlign w:val="top"/>
          </w:tcPr>
          <w:p>
            <w:pPr>
              <w:spacing w:after="0"/>
            </w:pPr>
            <w:r/>
            <w:r>
              <w:rPr>
                <w:b w:val="0"/>
              </w:rPr>
              <w:t>Math/data support</w:t>
            </w:r>
          </w:p>
        </w:tc>
        <w:tc>
          <w:tcPr>
            <w:tcW w:type="dxa" w:w="4320"/>
            <w:vAlign w:val="top"/>
          </w:tcPr>
          <w:p>
            <w:pPr>
              <w:spacing w:after="0"/>
            </w:pPr>
            <w:r/>
            <w:r>
              <w:rPr>
                <w:b w:val="0"/>
              </w:rPr>
              <w:t>Spreadsheet templates, calculation mini-lessons, project-specific analysis guidance.</w:t>
            </w:r>
          </w:p>
        </w:tc>
        <w:tc>
          <w:tcPr>
            <w:tcW w:type="dxa" w:w="4320"/>
            <w:vAlign w:val="top"/>
          </w:tcPr>
          <w:p>
            <w:pPr>
              <w:spacing w:after="0"/>
            </w:pPr>
            <w:r/>
            <w:r>
              <w:rPr>
                <w:b w:val="0"/>
              </w:rPr>
              <w:t>Student chooses and explains appropriate analysis.</w:t>
            </w:r>
          </w:p>
        </w:tc>
      </w:tr>
      <w:tr>
        <w:tc>
          <w:tcPr>
            <w:tcW w:type="dxa" w:w="2592"/>
            <w:vAlign w:val="top"/>
          </w:tcPr>
          <w:p>
            <w:pPr>
              <w:spacing w:after="0"/>
            </w:pPr>
            <w:r/>
            <w:r>
              <w:rPr>
                <w:b w:val="0"/>
              </w:rPr>
              <w:t>Presentation anxiety</w:t>
            </w:r>
          </w:p>
        </w:tc>
        <w:tc>
          <w:tcPr>
            <w:tcW w:type="dxa" w:w="4320"/>
            <w:vAlign w:val="top"/>
          </w:tcPr>
          <w:p>
            <w:pPr>
              <w:spacing w:after="0"/>
            </w:pPr>
            <w:r/>
            <w:r>
              <w:rPr>
                <w:b w:val="0"/>
              </w:rPr>
              <w:t>Small group practice, notecards, poster-session format, recorded rehearsal.</w:t>
            </w:r>
          </w:p>
        </w:tc>
        <w:tc>
          <w:tcPr>
            <w:tcW w:type="dxa" w:w="4320"/>
            <w:vAlign w:val="top"/>
          </w:tcPr>
          <w:p>
            <w:pPr>
              <w:spacing w:after="0"/>
            </w:pPr>
            <w:r/>
            <w:r>
              <w:rPr>
                <w:b w:val="0"/>
              </w:rPr>
              <w:t>Student explains and defends research clearly.</w:t>
            </w:r>
          </w:p>
        </w:tc>
      </w:tr>
      <w:tr>
        <w:tc>
          <w:tcPr>
            <w:tcW w:type="dxa" w:w="2592"/>
            <w:vAlign w:val="top"/>
          </w:tcPr>
          <w:p>
            <w:pPr>
              <w:spacing w:after="0"/>
            </w:pPr>
            <w:r/>
            <w:r>
              <w:rPr>
                <w:b w:val="0"/>
              </w:rPr>
              <w:t>Accessibility needs</w:t>
            </w:r>
          </w:p>
        </w:tc>
        <w:tc>
          <w:tcPr>
            <w:tcW w:type="dxa" w:w="4320"/>
            <w:vAlign w:val="top"/>
          </w:tcPr>
          <w:p>
            <w:pPr>
              <w:spacing w:after="0"/>
            </w:pPr>
            <w:r/>
            <w:r>
              <w:rPr>
                <w:b w:val="0"/>
              </w:rPr>
              <w:t>Alternative documentation formats, assistive technology, modified Q&amp;A, visual supports.</w:t>
            </w:r>
          </w:p>
        </w:tc>
        <w:tc>
          <w:tcPr>
            <w:tcW w:type="dxa" w:w="4320"/>
            <w:vAlign w:val="top"/>
          </w:tcPr>
          <w:p>
            <w:pPr>
              <w:spacing w:after="0"/>
            </w:pPr>
            <w:r/>
            <w:r>
              <w:rPr>
                <w:b w:val="0"/>
              </w:rPr>
              <w:t>Student provides evidence of process and understanding.</w:t>
            </w:r>
          </w:p>
        </w:tc>
      </w:tr>
      <w:tr>
        <w:tc>
          <w:tcPr>
            <w:tcW w:type="dxa" w:w="2592"/>
            <w:vAlign w:val="top"/>
          </w:tcPr>
          <w:p>
            <w:pPr>
              <w:spacing w:after="0"/>
            </w:pPr>
            <w:r/>
            <w:r>
              <w:rPr>
                <w:b w:val="0"/>
              </w:rPr>
              <w:t>Advanced students</w:t>
            </w:r>
          </w:p>
        </w:tc>
        <w:tc>
          <w:tcPr>
            <w:tcW w:type="dxa" w:w="4320"/>
            <w:vAlign w:val="top"/>
          </w:tcPr>
          <w:p>
            <w:pPr>
              <w:spacing w:after="0"/>
            </w:pPr>
            <w:r/>
            <w:r>
              <w:rPr>
                <w:b w:val="0"/>
              </w:rPr>
              <w:t>Mentor feedback, deeper analysis, technical appendix, competition preparation.</w:t>
            </w:r>
          </w:p>
        </w:tc>
        <w:tc>
          <w:tcPr>
            <w:tcW w:type="dxa" w:w="4320"/>
            <w:vAlign w:val="top"/>
          </w:tcPr>
          <w:p>
            <w:pPr>
              <w:spacing w:after="0"/>
            </w:pPr>
            <w:r/>
            <w:r>
              <w:rPr>
                <w:b w:val="0"/>
              </w:rPr>
              <w:t>Student extends work without bypassing documentation and safety.</w:t>
            </w:r>
          </w:p>
        </w:tc>
      </w:tr>
    </w:tbl>
    <w:p>
      <w:pPr>
        <w:spacing w:after="120"/>
      </w:pPr>
    </w:p>
    <w:p>
      <w:pPr>
        <w:pStyle w:val="Heading1"/>
        <w:spacing w:before="200" w:after="80"/>
      </w:pPr>
      <w:r>
        <w:t>12. Sample Grading Language and Policies</w:t>
      </w:r>
    </w:p>
    <w:p>
      <w:pPr>
        <w:pStyle w:val="Heading2"/>
        <w:spacing w:before="200" w:after="80"/>
      </w:pPr>
      <w:r>
        <w:t>Late or missing process work</w:t>
      </w:r>
    </w:p>
    <w:p>
      <w:pPr>
        <w:spacing w:after="120"/>
      </w:pPr>
      <w:r>
        <w:t>Because STARLAB depends on ongoing documentation, late process work should be handled differently from a late worksheet. A journal entry written three weeks late is less valuable because it no longer represents immediate documentation. Teachers may allow revision but should still mark whether documentation was timely.</w:t>
      </w:r>
    </w:p>
    <w:p>
      <w:pPr>
        <w:pStyle w:val="Heading3"/>
        <w:spacing w:before="200" w:after="80"/>
      </w:pPr>
      <w:r>
        <w:t>Suggested language for students</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224"/>
      </w:tblGrid>
      <w:tr>
        <w:tc>
          <w:tcPr>
            <w:tcW w:type="dxa" w:w="10224"/>
            <w:shd w:fill="F2F2F2"/>
          </w:tcPr>
          <w:p>
            <w:r>
              <w:rPr>
                <w:b/>
                <w:color w:val="C00000"/>
              </w:rPr>
              <w:t>Documentation policy</w:t>
            </w:r>
          </w:p>
          <w:p>
            <w:pPr>
              <w:spacing w:after="0"/>
            </w:pPr>
            <w:r>
              <w:t>Research documentation must be completed during or immediately after research work. Late reconstruction from memory may receive partial credit only if it is clearly labeled as reconstructed and does not replace missing raw data.</w:t>
            </w:r>
          </w:p>
        </w:tc>
        <w:trPr>
          <w:tblHeader/>
        </w:trPr>
      </w:tr>
    </w:tbl>
    <w:p>
      <w:pPr>
        <w:spacing w:after="120"/>
      </w:pPr>
    </w:p>
    <w:p>
      <w:pPr>
        <w:pStyle w:val="Heading2"/>
        <w:spacing w:before="200" w:after="80"/>
      </w:pPr>
      <w:r>
        <w:t>Revision policy</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224"/>
      </w:tblGrid>
      <w:tr>
        <w:tc>
          <w:tcPr>
            <w:tcW w:type="dxa" w:w="10224"/>
            <w:shd w:fill="F2F2F2"/>
          </w:tcPr>
          <w:p>
            <w:r>
              <w:rPr>
                <w:b/>
                <w:color w:val="C00000"/>
              </w:rPr>
              <w:t>Revision policy</w:t>
            </w:r>
          </w:p>
          <w:p>
            <w:pPr>
              <w:spacing w:after="0"/>
            </w:pPr>
            <w:r>
              <w:t>Revision is expected in STARLAB. Students may revise major planning, writing, analysis, and presentation products after feedback. Revised work should include a brief explanation of what changed and why.</w:t>
            </w:r>
          </w:p>
        </w:tc>
        <w:trPr>
          <w:tblHeader/>
        </w:trPr>
      </w:tr>
    </w:tbl>
    <w:p>
      <w:pPr>
        <w:spacing w:after="120"/>
      </w:pPr>
    </w:p>
    <w:p>
      <w:pPr>
        <w:pStyle w:val="Heading2"/>
        <w:spacing w:before="200" w:after="80"/>
      </w:pPr>
      <w:r>
        <w:t>Safety policy</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224"/>
      </w:tblGrid>
      <w:tr>
        <w:tc>
          <w:tcPr>
            <w:tcW w:type="dxa" w:w="10224"/>
            <w:shd w:fill="F2F2F2"/>
          </w:tcPr>
          <w:p>
            <w:r>
              <w:rPr>
                <w:b/>
                <w:color w:val="C00000"/>
              </w:rPr>
              <w:t>Safety policy</w:t>
            </w:r>
          </w:p>
          <w:p>
            <w:pPr>
              <w:spacing w:after="0"/>
            </w:pPr>
            <w:r>
              <w:t>No student may begin testing, building, collecting data, contacting participants, using restricted tools, or working with hazardous materials without teacher approval. Work completed outside approval may not be accepted as valid STARLAB evidence.</w:t>
            </w:r>
          </w:p>
        </w:tc>
        <w:trPr>
          <w:tblHeader/>
        </w:trPr>
      </w:tr>
    </w:tbl>
    <w:p>
      <w:pPr>
        <w:spacing w:after="120"/>
      </w:pPr>
    </w:p>
    <w:p>
      <w:pPr>
        <w:pStyle w:val="Heading2"/>
        <w:spacing w:before="200" w:after="80"/>
      </w:pPr>
      <w:r>
        <w:t>Group work policy</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224"/>
      </w:tblGrid>
      <w:tr>
        <w:tc>
          <w:tcPr>
            <w:tcW w:type="dxa" w:w="10224"/>
            <w:shd w:fill="F2F2F2"/>
          </w:tcPr>
          <w:p>
            <w:r>
              <w:rPr>
                <w:b/>
                <w:color w:val="C00000"/>
              </w:rPr>
              <w:t>Group work policy</w:t>
            </w:r>
          </w:p>
          <w:p>
            <w:pPr>
              <w:spacing w:after="0"/>
            </w:pPr>
            <w:r>
              <w:t>Students may collaborate, but each student must be able to explain the research question, method, evidence, limitations, and their individual contribution. Group products should include individual accountability evidence.</w:t>
            </w:r>
          </w:p>
        </w:tc>
        <w:trPr>
          <w:tblHeader/>
        </w:trPr>
      </w:tr>
    </w:tbl>
    <w:p>
      <w:pPr>
        <w:spacing w:after="120"/>
      </w:pPr>
    </w:p>
    <w:p>
      <w:pPr>
        <w:pStyle w:val="Heading1"/>
        <w:spacing w:before="200" w:after="80"/>
      </w:pPr>
      <w:r>
        <w:t>13. Quick Implementation Checklist</w:t>
      </w:r>
    </w:p>
    <w:p>
      <w:pPr>
        <w:pStyle w:val="ListBullet"/>
      </w:pPr>
      <w:r>
        <w:t>Create gradebook categories before Unit 1 begins.</w:t>
      </w:r>
    </w:p>
    <w:p>
      <w:pPr>
        <w:pStyle w:val="ListBullet"/>
      </w:pPr>
      <w:r>
        <w:t>Decide which rubrics are required schoolwide and which are teacher-adaptable.</w:t>
      </w:r>
    </w:p>
    <w:p>
      <w:pPr>
        <w:pStyle w:val="ListBullet"/>
      </w:pPr>
      <w:r>
        <w:t>Set up a student project tracker.</w:t>
      </w:r>
    </w:p>
    <w:p>
      <w:pPr>
        <w:pStyle w:val="ListBullet"/>
      </w:pPr>
      <w:r>
        <w:t>Establish a research journal submission/check system.</w:t>
      </w:r>
    </w:p>
    <w:p>
      <w:pPr>
        <w:pStyle w:val="ListBullet"/>
      </w:pPr>
      <w:r>
        <w:t>Use project approval status as a gate before testing.</w:t>
      </w:r>
    </w:p>
    <w:p>
      <w:pPr>
        <w:pStyle w:val="ListBullet"/>
      </w:pPr>
      <w:r>
        <w:t>Grade weekly progress through short check-ins and documentation evidence.</w:t>
      </w:r>
    </w:p>
    <w:p>
      <w:pPr>
        <w:pStyle w:val="ListBullet"/>
      </w:pPr>
      <w:r>
        <w:t>Require raw data preservation before analysis.</w:t>
      </w:r>
    </w:p>
    <w:p>
      <w:pPr>
        <w:pStyle w:val="ListBullet"/>
      </w:pPr>
      <w:r>
        <w:t>Require a revision plan before final report submission.</w:t>
      </w:r>
    </w:p>
    <w:p>
      <w:pPr>
        <w:pStyle w:val="ListBullet"/>
      </w:pPr>
      <w:r>
        <w:t>Practice Q&amp;A before public presentation.</w:t>
      </w:r>
    </w:p>
    <w:p>
      <w:pPr>
        <w:pStyle w:val="ListBullet"/>
      </w:pPr>
      <w:r>
        <w:t>Use final reflection and portfolio evidence to assess growth.</w:t>
      </w:r>
    </w:p>
    <w:p>
      <w:pPr>
        <w:pStyle w:val="Heading1"/>
        <w:spacing w:before="200" w:after="80"/>
      </w:pPr>
      <w:r>
        <w:t>Appendix: Suggested Gradebook Categories by Quarter</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8"/>
        <w:gridCol w:w="3408"/>
        <w:gridCol w:w="3408"/>
      </w:tblGrid>
      <w:tr>
        <w:tc>
          <w:tcPr>
            <w:tcW w:type="dxa" w:w="3024"/>
            <w:shd w:fill="C00000"/>
          </w:tcPr>
          <w:p>
            <w:pPr>
              <w:spacing w:after="0"/>
            </w:pPr>
            <w:r/>
            <w:r>
              <w:rPr>
                <w:b/>
                <w:color w:val="FFFFFF"/>
              </w:rPr>
              <w:t>Quarter / Course Phase</w:t>
            </w:r>
          </w:p>
        </w:tc>
        <w:tc>
          <w:tcPr>
            <w:tcW w:type="dxa" w:w="5184"/>
            <w:shd w:fill="C00000"/>
          </w:tcPr>
          <w:p>
            <w:pPr>
              <w:spacing w:after="0"/>
            </w:pPr>
            <w:r/>
            <w:r>
              <w:rPr>
                <w:b/>
                <w:color w:val="FFFFFF"/>
              </w:rPr>
              <w:t>Suggested Categories</w:t>
            </w:r>
          </w:p>
        </w:tc>
        <w:tc>
          <w:tcPr>
            <w:tcW w:type="dxa" w:w="3168"/>
            <w:shd w:fill="C00000"/>
          </w:tcPr>
          <w:p>
            <w:pPr>
              <w:spacing w:after="0"/>
            </w:pPr>
            <w:r/>
            <w:r>
              <w:rPr>
                <w:b/>
                <w:color w:val="FFFFFF"/>
              </w:rPr>
              <w:t>Notes</w:t>
            </w:r>
          </w:p>
        </w:tc>
        <w:trPr>
          <w:tblHeader/>
        </w:trPr>
      </w:tr>
      <w:tr>
        <w:tc>
          <w:tcPr>
            <w:tcW w:type="dxa" w:w="3024"/>
            <w:vAlign w:val="top"/>
          </w:tcPr>
          <w:p>
            <w:pPr>
              <w:spacing w:after="0"/>
            </w:pPr>
            <w:r/>
            <w:r>
              <w:rPr>
                <w:b w:val="0"/>
              </w:rPr>
              <w:t>Quarter 1: Units 1–2</w:t>
            </w:r>
          </w:p>
        </w:tc>
        <w:tc>
          <w:tcPr>
            <w:tcW w:type="dxa" w:w="5184"/>
            <w:vAlign w:val="top"/>
          </w:tcPr>
          <w:p>
            <w:pPr>
              <w:spacing w:after="0"/>
            </w:pPr>
            <w:r/>
            <w:r>
              <w:rPr>
                <w:b w:val="0"/>
              </w:rPr>
              <w:t>Research foundations; planning products; safety/ethics; preliminary pitch; formal research plan.</w:t>
            </w:r>
          </w:p>
        </w:tc>
        <w:tc>
          <w:tcPr>
            <w:tcW w:type="dxa" w:w="3168"/>
            <w:vAlign w:val="top"/>
          </w:tcPr>
          <w:p>
            <w:pPr>
              <w:spacing w:after="0"/>
            </w:pPr>
            <w:r/>
            <w:r>
              <w:rPr>
                <w:b w:val="0"/>
              </w:rPr>
              <w:t>Emphasize setup, project quality, feasibility, and approval readiness.</w:t>
            </w:r>
          </w:p>
        </w:tc>
      </w:tr>
      <w:tr>
        <w:tc>
          <w:tcPr>
            <w:tcW w:type="dxa" w:w="3024"/>
            <w:vAlign w:val="top"/>
          </w:tcPr>
          <w:p>
            <w:pPr>
              <w:spacing w:after="0"/>
            </w:pPr>
            <w:r/>
            <w:r>
              <w:rPr>
                <w:b w:val="0"/>
              </w:rPr>
              <w:t>Quarter 2: Unit 3 early</w:t>
            </w:r>
          </w:p>
        </w:tc>
        <w:tc>
          <w:tcPr>
            <w:tcW w:type="dxa" w:w="5184"/>
            <w:vAlign w:val="top"/>
          </w:tcPr>
          <w:p>
            <w:pPr>
              <w:spacing w:after="0"/>
            </w:pPr>
            <w:r/>
            <w:r>
              <w:rPr>
                <w:b w:val="0"/>
              </w:rPr>
              <w:t>Pilot testing; research journal; troubleshooting; revised procedure; data collection logs; progress check-ins.</w:t>
            </w:r>
          </w:p>
        </w:tc>
        <w:tc>
          <w:tcPr>
            <w:tcW w:type="dxa" w:w="3168"/>
            <w:vAlign w:val="top"/>
          </w:tcPr>
          <w:p>
            <w:pPr>
              <w:spacing w:after="0"/>
            </w:pPr>
            <w:r/>
            <w:r>
              <w:rPr>
                <w:b w:val="0"/>
              </w:rPr>
              <w:t>Emphasize documented research work, not perfect results.</w:t>
            </w:r>
          </w:p>
        </w:tc>
      </w:tr>
      <w:tr>
        <w:tc>
          <w:tcPr>
            <w:tcW w:type="dxa" w:w="3024"/>
            <w:vAlign w:val="top"/>
          </w:tcPr>
          <w:p>
            <w:pPr>
              <w:spacing w:after="0"/>
            </w:pPr>
            <w:r/>
            <w:r>
              <w:rPr>
                <w:b w:val="0"/>
              </w:rPr>
              <w:t>Quarter 3: Unit 3 late and Unit 4</w:t>
            </w:r>
          </w:p>
        </w:tc>
        <w:tc>
          <w:tcPr>
            <w:tcW w:type="dxa" w:w="5184"/>
            <w:vAlign w:val="top"/>
          </w:tcPr>
          <w:p>
            <w:pPr>
              <w:spacing w:after="0"/>
            </w:pPr>
            <w:r/>
            <w:r>
              <w:rPr>
                <w:b w:val="0"/>
              </w:rPr>
              <w:t>Data collection; mid-project report; data audit; clean data set; analysis plan; graphs; limitations.</w:t>
            </w:r>
          </w:p>
        </w:tc>
        <w:tc>
          <w:tcPr>
            <w:tcW w:type="dxa" w:w="3168"/>
            <w:vAlign w:val="top"/>
          </w:tcPr>
          <w:p>
            <w:pPr>
              <w:spacing w:after="0"/>
            </w:pPr>
            <w:r/>
            <w:r>
              <w:rPr>
                <w:b w:val="0"/>
              </w:rPr>
              <w:t>Emphasize evidence quality and interpretation.</w:t>
            </w:r>
          </w:p>
        </w:tc>
      </w:tr>
      <w:tr>
        <w:tc>
          <w:tcPr>
            <w:tcW w:type="dxa" w:w="3024"/>
            <w:vAlign w:val="top"/>
          </w:tcPr>
          <w:p>
            <w:pPr>
              <w:spacing w:after="0"/>
            </w:pPr>
            <w:r/>
            <w:r>
              <w:rPr>
                <w:b w:val="0"/>
              </w:rPr>
              <w:t>Quarter 4: Units 5–6</w:t>
            </w:r>
          </w:p>
        </w:tc>
        <w:tc>
          <w:tcPr>
            <w:tcW w:type="dxa" w:w="5184"/>
            <w:vAlign w:val="top"/>
          </w:tcPr>
          <w:p>
            <w:pPr>
              <w:spacing w:after="0"/>
            </w:pPr>
            <w:r/>
            <w:r>
              <w:rPr>
                <w:b w:val="0"/>
              </w:rPr>
              <w:t>Scientific report; peer review; revision; visual presentation; oral presentation; Q&amp;A; portfolio; reflection.</w:t>
            </w:r>
          </w:p>
        </w:tc>
        <w:tc>
          <w:tcPr>
            <w:tcW w:type="dxa" w:w="3168"/>
            <w:vAlign w:val="top"/>
          </w:tcPr>
          <w:p>
            <w:pPr>
              <w:spacing w:after="0"/>
            </w:pPr>
            <w:r/>
            <w:r>
              <w:rPr>
                <w:b w:val="0"/>
              </w:rPr>
              <w:t>Emphasize communication, revision, professionalism, and reflection.</w:t>
            </w:r>
          </w:p>
        </w:tc>
      </w:tr>
    </w:tbl>
    <w:p>
      <w:pPr>
        <w:spacing w:after="120"/>
      </w:pP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Science Through Advanced Research, Learning, Application, and Building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STARLAB | Grading and Assessment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C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0404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C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STARLAB Grading and Assessment Guide</dc:title>
  <dc:subject/>
  <dc:creator>STARLAB</dc:creator>
  <cp:keywords>STARLAB, grading, syllabus weights, Unit 6 Appendix L, Unit 6 Appendix M</cp:keywords>
  <dc:description>Revised to match the grading weights in the STARLAB syllabus.</dc:description>
  <cp:lastModifiedBy/>
  <cp:revision>1</cp:revision>
  <dcterms:created xsi:type="dcterms:W3CDTF">2013-12-23T23:15:00Z</dcterms:created>
  <dcterms:modified xsi:type="dcterms:W3CDTF">2013-12-23T23:15:00Z</dcterms:modified>
  <cp:category>STARLAB Curriculum</cp:category>
</cp:coreProperties>
</file>